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drawings/drawing1.xml" ContentType="application/vnd.openxmlformats-officedocument.drawingml.chartshapes+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DFF0C" w14:textId="77777777" w:rsidR="006D68D4" w:rsidRPr="000F47B9" w:rsidRDefault="006D68D4" w:rsidP="00910427">
      <w:pPr>
        <w:spacing w:before="240"/>
        <w:jc w:val="center"/>
        <w:rPr>
          <w:rFonts w:cs="Calibri"/>
          <w:b/>
        </w:rPr>
      </w:pPr>
      <w:r w:rsidRPr="000F47B9">
        <w:rPr>
          <w:rFonts w:cs="Calibri"/>
          <w:b/>
        </w:rPr>
        <w:t>KNOWLEDGE ATTITUDE AND PRACTICE – KAP SURVEY AND A MINI EVALUATION OF THE WASH PROJECT IN KAKUMA REFUGEE CAMP AND KALOBEYEI</w:t>
      </w:r>
    </w:p>
    <w:p w14:paraId="4E9DFF0D" w14:textId="77777777" w:rsidR="006D68D4" w:rsidRPr="000F47B9" w:rsidRDefault="006D68D4" w:rsidP="006D68D4">
      <w:pPr>
        <w:spacing w:before="240"/>
        <w:jc w:val="center"/>
        <w:rPr>
          <w:rFonts w:cs="Calibri"/>
          <w:b/>
        </w:rPr>
      </w:pPr>
      <w:r w:rsidRPr="000F47B9">
        <w:rPr>
          <w:rFonts w:cs="Calibri"/>
          <w:b/>
        </w:rPr>
        <w:t>SETTLEMENT SITE, KENYA</w:t>
      </w:r>
    </w:p>
    <w:p w14:paraId="4E9DFF0E" w14:textId="77777777" w:rsidR="006D68D4" w:rsidRPr="000F47B9" w:rsidRDefault="00ED071D" w:rsidP="006D68D4">
      <w:pPr>
        <w:spacing w:before="240"/>
        <w:jc w:val="center"/>
        <w:rPr>
          <w:rFonts w:cs="Calibri"/>
          <w:b/>
        </w:rPr>
      </w:pPr>
      <w:r w:rsidRPr="00415A11">
        <w:rPr>
          <w:noProof/>
          <w:color w:val="FFFFFF" w:themeColor="background1"/>
        </w:rPr>
        <w:drawing>
          <wp:anchor distT="0" distB="0" distL="114300" distR="114300" simplePos="0" relativeHeight="251646976" behindDoc="0" locked="0" layoutInCell="1" allowOverlap="1" wp14:anchorId="4E9E0172" wp14:editId="4E9E0173">
            <wp:simplePos x="0" y="0"/>
            <wp:positionH relativeFrom="column">
              <wp:posOffset>2209800</wp:posOffset>
            </wp:positionH>
            <wp:positionV relativeFrom="paragraph">
              <wp:posOffset>8392795</wp:posOffset>
            </wp:positionV>
            <wp:extent cx="2209800" cy="2343150"/>
            <wp:effectExtent l="0" t="0" r="0" b="0"/>
            <wp:wrapNone/>
            <wp:docPr id="20" name="Picture 4" descr="C:\Users\user\Desktop\Kakuma KAP photos 2018\20180314_1204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Kakuma KAP photos 2018\20180314_120437(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2343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DFF0F" w14:textId="77777777" w:rsidR="006D68D4" w:rsidRPr="000F47B9" w:rsidRDefault="006D68D4" w:rsidP="006D68D4">
      <w:pPr>
        <w:spacing w:before="240"/>
        <w:jc w:val="center"/>
        <w:rPr>
          <w:rFonts w:cs="Calibri"/>
          <w:b/>
        </w:rPr>
      </w:pPr>
      <w:r w:rsidRPr="000F47B9">
        <w:rPr>
          <w:rFonts w:cs="Calibri"/>
          <w:b/>
        </w:rPr>
        <w:t>December 2019</w:t>
      </w:r>
    </w:p>
    <w:p w14:paraId="4E9DFF10" w14:textId="77777777" w:rsidR="006D68D4" w:rsidRPr="000F47B9" w:rsidRDefault="006D68D4" w:rsidP="006D68D4">
      <w:pPr>
        <w:spacing w:before="240"/>
        <w:jc w:val="center"/>
        <w:rPr>
          <w:rFonts w:cs="Calibri"/>
          <w:b/>
        </w:rPr>
      </w:pPr>
      <w:r w:rsidRPr="000F47B9">
        <w:rPr>
          <w:rFonts w:cs="Calibri"/>
          <w:b/>
        </w:rPr>
        <w:t>Draft Report</w:t>
      </w:r>
    </w:p>
    <w:p w14:paraId="4E9DFF11" w14:textId="77777777" w:rsidR="00913A17" w:rsidRPr="000F47B9" w:rsidRDefault="00913A17" w:rsidP="006D68D4">
      <w:pPr>
        <w:spacing w:before="240"/>
        <w:jc w:val="center"/>
        <w:rPr>
          <w:rFonts w:cs="Calibri"/>
          <w:b/>
        </w:rPr>
      </w:pPr>
    </w:p>
    <w:p w14:paraId="4E9DFF12" w14:textId="77777777" w:rsidR="006D68D4" w:rsidRPr="000F47B9" w:rsidRDefault="006D68D4" w:rsidP="006D68D4">
      <w:pPr>
        <w:spacing w:before="240"/>
        <w:rPr>
          <w:rFonts w:cs="Calibri"/>
        </w:rPr>
      </w:pPr>
      <w:r w:rsidRPr="000F47B9">
        <w:rPr>
          <w:rFonts w:cs="Calibri"/>
        </w:rPr>
        <w:br w:type="page"/>
      </w:r>
    </w:p>
    <w:p w14:paraId="4E9DFF13" w14:textId="77777777" w:rsidR="006D68D4" w:rsidRPr="009E0050" w:rsidRDefault="006D68D4" w:rsidP="006D68D4">
      <w:pPr>
        <w:pStyle w:val="Heading1"/>
        <w:rPr>
          <w:rFonts w:cs="Calibri"/>
          <w:szCs w:val="22"/>
        </w:rPr>
      </w:pPr>
      <w:bookmarkStart w:id="0" w:name="_Toc29286271"/>
      <w:r w:rsidRPr="009E0050">
        <w:rPr>
          <w:rFonts w:cs="Calibri"/>
          <w:szCs w:val="22"/>
        </w:rPr>
        <w:lastRenderedPageBreak/>
        <w:t>ACKNOWLEDGEMENT</w:t>
      </w:r>
      <w:bookmarkEnd w:id="0"/>
    </w:p>
    <w:p w14:paraId="4E9DFF14" w14:textId="77777777" w:rsidR="006D68D4" w:rsidRPr="009E0050" w:rsidRDefault="006D68D4" w:rsidP="006D68D4">
      <w:pPr>
        <w:spacing w:before="240"/>
        <w:rPr>
          <w:rFonts w:cs="Calibri"/>
        </w:rPr>
      </w:pPr>
      <w:r w:rsidRPr="009E0050">
        <w:rPr>
          <w:rFonts w:cs="Calibri"/>
        </w:rPr>
        <w:t>The author wishes to thank the United Nations High Commission for Refugees (UNHCR) and European Humanitarian Commission (ECHO), the Norwegian Refugee Council (NRC) and all the officials of partner organizations which included the Kenya Red Cross Society (KRCS), International Rescue Committee (IRC) and African Inland Church Health ministry (AICHM) for the valuable information and insights they provided with regards to disease surveillance trends. Many thanks to the NRC Area Manager (Mohamed Bundu), WASH Coordinator (Emmanuel Ouko); WASH Officer (Nancy Waweru); M&amp;E Assistant (Viola Rashid) and WASH Assistant (Everlyne Lobuin) for providing assistance during the field trips and for making reports and information available to the author. The team further appreciates the contribution from the team of drivers who made the field visits timely and enjoyable. Sincere thanks to all the respondents from whom valuable household data was obtained as well as the community leaders who participated in the FGDs. Finally, the team appreciates the role played by the enumerators who participated in data collection in the field.</w:t>
      </w:r>
    </w:p>
    <w:p w14:paraId="4E9DFF15" w14:textId="77777777" w:rsidR="006D68D4" w:rsidRPr="009E0050" w:rsidRDefault="006D68D4" w:rsidP="006D68D4">
      <w:pPr>
        <w:spacing w:before="240"/>
        <w:rPr>
          <w:rFonts w:cs="Calibri"/>
        </w:rPr>
      </w:pPr>
      <w:r w:rsidRPr="009E0050">
        <w:rPr>
          <w:rFonts w:cs="Calibri"/>
        </w:rPr>
        <w:br w:type="page"/>
      </w:r>
    </w:p>
    <w:p w14:paraId="4E9DFF16" w14:textId="77777777" w:rsidR="006D68D4" w:rsidRPr="009E0050" w:rsidRDefault="006D68D4" w:rsidP="006D68D4">
      <w:pPr>
        <w:pStyle w:val="Heading1"/>
        <w:rPr>
          <w:rFonts w:cs="Calibri"/>
          <w:szCs w:val="22"/>
        </w:rPr>
      </w:pPr>
      <w:bookmarkStart w:id="1" w:name="_Toc29286272"/>
      <w:r w:rsidRPr="009E0050">
        <w:rPr>
          <w:rFonts w:cs="Calibri"/>
          <w:szCs w:val="22"/>
        </w:rPr>
        <w:lastRenderedPageBreak/>
        <w:t>EXECUTIVE SUMMARY</w:t>
      </w:r>
      <w:bookmarkEnd w:id="1"/>
    </w:p>
    <w:p w14:paraId="4E9DFF17" w14:textId="77777777" w:rsidR="006D68D4" w:rsidRPr="009E0050" w:rsidRDefault="006D68D4" w:rsidP="006D68D4">
      <w:pPr>
        <w:autoSpaceDE w:val="0"/>
        <w:autoSpaceDN w:val="0"/>
        <w:adjustRightInd w:val="0"/>
        <w:spacing w:before="240" w:after="0" w:line="240" w:lineRule="auto"/>
        <w:rPr>
          <w:rFonts w:cs="Calibri"/>
          <w:color w:val="000000"/>
        </w:rPr>
      </w:pPr>
      <w:r w:rsidRPr="009E0050">
        <w:rPr>
          <w:rFonts w:cs="Calibri"/>
          <w:color w:val="000000"/>
        </w:rPr>
        <w:t xml:space="preserve">This report presents findings, discussions, conclusions and recommendations made following a survey of the Water Sanitation and Hygiene (WASH) Knowledge, Attitude and Practice (KAP) among refugees in Kakuma refugee camps and Kalobeyei settlement in Turkana West in Turkana County, Kenya. Two principle methods were used to collect primary data: household questionnaire and documents review in a summative evaluation approach. </w:t>
      </w:r>
    </w:p>
    <w:p w14:paraId="4E9DFF18" w14:textId="57B59943" w:rsidR="006D68D4" w:rsidRPr="009E0050" w:rsidRDefault="006D68D4" w:rsidP="006D68D4">
      <w:pPr>
        <w:autoSpaceDE w:val="0"/>
        <w:autoSpaceDN w:val="0"/>
        <w:adjustRightInd w:val="0"/>
        <w:spacing w:before="240" w:after="0" w:line="240" w:lineRule="auto"/>
        <w:rPr>
          <w:rFonts w:cs="Calibri"/>
        </w:rPr>
      </w:pPr>
      <w:r w:rsidRPr="009E0050">
        <w:rPr>
          <w:rFonts w:cs="Calibri"/>
          <w:color w:val="000000"/>
        </w:rPr>
        <w:t xml:space="preserve">The NRC WASH program </w:t>
      </w:r>
      <w:r w:rsidRPr="009E0050">
        <w:rPr>
          <w:rFonts w:cs="Calibri"/>
        </w:rPr>
        <w:t>seeks to save lives, prevent diseases, promote dignity, and support access to better living conditions and livelihood opportunities</w:t>
      </w:r>
      <w:r w:rsidRPr="009E0050">
        <w:rPr>
          <w:rFonts w:cs="Calibri"/>
          <w:color w:val="000000"/>
        </w:rPr>
        <w:t xml:space="preserve"> for 192,352 Refugees and asylum seekers in Kakuma camp (153,593) and Kalobeyei settlement (36,099). WASH service delivery is well developed in Kakuma. Service delivery at Kalobeyei is still at emergency stage. To do this, NRC in collaboration with the Water Resource Authority (WRA) and U</w:t>
      </w:r>
      <w:r w:rsidR="00175B06">
        <w:rPr>
          <w:rFonts w:cs="Calibri"/>
          <w:color w:val="000000"/>
        </w:rPr>
        <w:t>N</w:t>
      </w:r>
      <w:bookmarkStart w:id="2" w:name="_GoBack"/>
      <w:bookmarkEnd w:id="2"/>
      <w:r w:rsidRPr="009E0050">
        <w:rPr>
          <w:rFonts w:cs="Calibri"/>
          <w:color w:val="000000"/>
        </w:rPr>
        <w:t xml:space="preserve">HCR manage the sourcing of water from 19 Boreholes (BH) along Tarach Sub water catchment and supplying water sourced to the refugees and some parts of the host community through 1,104 tapstands in Kakuma refugee camps (850) and Kalobeyei settlement (254). The average amount of water supplied to the refugees as per the water production and supply records fluctuated throughout 2019 between 19 and 21 l/p/d in Kakuma camps and 17 and 22 l/p/d in Kalobeyei settlement. Household survey findings found that 99.8% of the respondents collected water from protected water sources in the entire camp at an average of 17.4 l/p/d. </w:t>
      </w:r>
    </w:p>
    <w:p w14:paraId="4E9DFF19" w14:textId="77777777" w:rsidR="006D68D4" w:rsidRPr="009E0050" w:rsidRDefault="006D68D4" w:rsidP="006D68D4">
      <w:pPr>
        <w:autoSpaceDE w:val="0"/>
        <w:autoSpaceDN w:val="0"/>
        <w:adjustRightInd w:val="0"/>
        <w:spacing w:before="240" w:after="0" w:line="240" w:lineRule="auto"/>
        <w:rPr>
          <w:rFonts w:cs="Calibri"/>
        </w:rPr>
      </w:pPr>
      <w:r w:rsidRPr="009E0050">
        <w:rPr>
          <w:rFonts w:cs="Calibri"/>
        </w:rPr>
        <w:t>The documents reviewed indicated that there were a total of 12,300 latrines in Kakuma refugee camps out of which 11,399 are Household (HH) latrines and 901 are communal latrines. This was against a population of 153,593 users yielding a 33.24% latrine coverage and a 1:12 latrine user ratio in Kakuma refugee camps. Further assessment from the households indicated that 87.6% of the households in Kakuma and Kalobeyei defecate in a latrine/toilet as most of the respondents could access a family latrine as reported by 86.7% of the households interviewed that they either had their own HH latrine or shared with other families that had HH latrines. However, 14.1% of those interviewed reported practicing Open Defecation (OD) which included defecating in the bushes especially at nights.</w:t>
      </w:r>
    </w:p>
    <w:p w14:paraId="4E9DFF1A" w14:textId="77777777" w:rsidR="006D68D4" w:rsidRPr="009E0050" w:rsidRDefault="006D68D4" w:rsidP="006D68D4">
      <w:pPr>
        <w:spacing w:before="240"/>
        <w:rPr>
          <w:rFonts w:cs="Calibri"/>
        </w:rPr>
      </w:pPr>
      <w:r w:rsidRPr="009E0050">
        <w:rPr>
          <w:rFonts w:cs="Calibri"/>
        </w:rPr>
        <w:t xml:space="preserve">Eighty three point seven eight percent (83.78%) of those interviewed reported having regular access to soap mainly from monthly distributions from Non-Governmental Organizations (NGOs) by 74% and the other 25% reported buying their soap from the markets. </w:t>
      </w:r>
    </w:p>
    <w:p w14:paraId="4E9DFF1B" w14:textId="77777777" w:rsidR="006D68D4" w:rsidRDefault="006D68D4" w:rsidP="006D68D4">
      <w:pPr>
        <w:spacing w:before="240"/>
        <w:rPr>
          <w:rFonts w:cs="Calibri"/>
        </w:rPr>
      </w:pPr>
      <w:r w:rsidRPr="009E0050">
        <w:rPr>
          <w:rFonts w:cs="Calibri"/>
        </w:rPr>
        <w:t>In view of the findings, the study established existing gaps in the knowledge, attitude and practice in both water handling practices, sanitation and hygiene promotion and thus recommends that; 1) There is need for maintenance of the existing water supply reticulation system in the camp. 2) Jerricans cleaning and exchange campaigns to be enhanced. 3) Safe water handling practices campaigns to be enhanced. 4) Strategy to replace filled up latrines to be developed especially for household latrines and 5) Hygiene promotion messages to be strengthened with more emphasis on cultural diversities.</w:t>
      </w:r>
    </w:p>
    <w:p w14:paraId="4E9DFF1C" w14:textId="77777777" w:rsidR="004D57D2" w:rsidRDefault="004D57D2" w:rsidP="006D68D4">
      <w:pPr>
        <w:spacing w:before="240"/>
        <w:rPr>
          <w:rFonts w:cs="Calibri"/>
        </w:rPr>
      </w:pPr>
    </w:p>
    <w:p w14:paraId="4E9DFF1D" w14:textId="77777777" w:rsidR="004D57D2" w:rsidRDefault="004D57D2" w:rsidP="006D68D4">
      <w:pPr>
        <w:spacing w:before="240"/>
        <w:rPr>
          <w:rFonts w:cs="Calibri"/>
        </w:rPr>
      </w:pPr>
    </w:p>
    <w:p w14:paraId="4E9DFF1E" w14:textId="77777777" w:rsidR="004D57D2" w:rsidRPr="00FF7866" w:rsidRDefault="00E379A5" w:rsidP="00E379A5">
      <w:pPr>
        <w:pStyle w:val="TOCHeading"/>
        <w:jc w:val="center"/>
        <w:rPr>
          <w:rFonts w:ascii="Calibri" w:hAnsi="Calibri"/>
          <w:color w:val="auto"/>
          <w:sz w:val="22"/>
          <w:szCs w:val="22"/>
        </w:rPr>
      </w:pPr>
      <w:r w:rsidRPr="00FF7866">
        <w:rPr>
          <w:rFonts w:ascii="Calibri" w:hAnsi="Calibri"/>
          <w:color w:val="auto"/>
          <w:sz w:val="22"/>
          <w:szCs w:val="22"/>
        </w:rPr>
        <w:t>TABLE OF CONTENTS</w:t>
      </w:r>
    </w:p>
    <w:p w14:paraId="4E9DFF1F" w14:textId="77777777" w:rsidR="003111FE" w:rsidRPr="00FF7866" w:rsidRDefault="004D57D2">
      <w:pPr>
        <w:pStyle w:val="TOC1"/>
        <w:rPr>
          <w:rFonts w:eastAsia="Times New Roman"/>
          <w:b w:val="0"/>
          <w:szCs w:val="22"/>
          <w:lang w:val="en-GB" w:eastAsia="en-GB"/>
        </w:rPr>
      </w:pPr>
      <w:r>
        <w:fldChar w:fldCharType="begin"/>
      </w:r>
      <w:r>
        <w:instrText xml:space="preserve"> TOC \o "1-3" \h \z \u </w:instrText>
      </w:r>
      <w:r>
        <w:fldChar w:fldCharType="separate"/>
      </w:r>
      <w:hyperlink w:anchor="_Toc29286271" w:history="1">
        <w:r w:rsidR="003111FE" w:rsidRPr="008E2800">
          <w:rPr>
            <w:rStyle w:val="Hyperlink"/>
            <w:rFonts w:cs="Calibri"/>
          </w:rPr>
          <w:t>ACKNOWLEDGEMENT</w:t>
        </w:r>
        <w:r w:rsidR="003111FE">
          <w:rPr>
            <w:webHidden/>
          </w:rPr>
          <w:tab/>
        </w:r>
        <w:r w:rsidR="003111FE">
          <w:rPr>
            <w:webHidden/>
          </w:rPr>
          <w:fldChar w:fldCharType="begin"/>
        </w:r>
        <w:r w:rsidR="003111FE">
          <w:rPr>
            <w:webHidden/>
          </w:rPr>
          <w:instrText xml:space="preserve"> PAGEREF _Toc29286271 \h </w:instrText>
        </w:r>
        <w:r w:rsidR="003111FE">
          <w:rPr>
            <w:webHidden/>
          </w:rPr>
        </w:r>
        <w:r w:rsidR="003111FE">
          <w:rPr>
            <w:webHidden/>
          </w:rPr>
          <w:fldChar w:fldCharType="separate"/>
        </w:r>
        <w:r w:rsidR="00DA4A6D">
          <w:rPr>
            <w:webHidden/>
          </w:rPr>
          <w:t>ii</w:t>
        </w:r>
        <w:r w:rsidR="003111FE">
          <w:rPr>
            <w:webHidden/>
          </w:rPr>
          <w:fldChar w:fldCharType="end"/>
        </w:r>
      </w:hyperlink>
    </w:p>
    <w:p w14:paraId="4E9DFF20" w14:textId="77777777" w:rsidR="003111FE" w:rsidRPr="00FF7866" w:rsidRDefault="00AF4C41">
      <w:pPr>
        <w:pStyle w:val="TOC1"/>
        <w:rPr>
          <w:rFonts w:eastAsia="Times New Roman"/>
          <w:b w:val="0"/>
          <w:szCs w:val="22"/>
          <w:lang w:val="en-GB" w:eastAsia="en-GB"/>
        </w:rPr>
      </w:pPr>
      <w:hyperlink w:anchor="_Toc29286272" w:history="1">
        <w:r w:rsidR="003111FE" w:rsidRPr="008E2800">
          <w:rPr>
            <w:rStyle w:val="Hyperlink"/>
            <w:rFonts w:cs="Calibri"/>
          </w:rPr>
          <w:t>EXECUTIVE SUMMARY</w:t>
        </w:r>
        <w:r w:rsidR="003111FE">
          <w:rPr>
            <w:webHidden/>
          </w:rPr>
          <w:tab/>
        </w:r>
        <w:r w:rsidR="003111FE">
          <w:rPr>
            <w:webHidden/>
          </w:rPr>
          <w:fldChar w:fldCharType="begin"/>
        </w:r>
        <w:r w:rsidR="003111FE">
          <w:rPr>
            <w:webHidden/>
          </w:rPr>
          <w:instrText xml:space="preserve"> PAGEREF _Toc29286272 \h </w:instrText>
        </w:r>
        <w:r w:rsidR="003111FE">
          <w:rPr>
            <w:webHidden/>
          </w:rPr>
        </w:r>
        <w:r w:rsidR="003111FE">
          <w:rPr>
            <w:webHidden/>
          </w:rPr>
          <w:fldChar w:fldCharType="separate"/>
        </w:r>
        <w:r w:rsidR="00DA4A6D">
          <w:rPr>
            <w:webHidden/>
          </w:rPr>
          <w:t>iii</w:t>
        </w:r>
        <w:r w:rsidR="003111FE">
          <w:rPr>
            <w:webHidden/>
          </w:rPr>
          <w:fldChar w:fldCharType="end"/>
        </w:r>
      </w:hyperlink>
    </w:p>
    <w:p w14:paraId="4E9DFF21" w14:textId="77777777" w:rsidR="003111FE" w:rsidRPr="00FF7866" w:rsidRDefault="00AF4C41">
      <w:pPr>
        <w:pStyle w:val="TOC1"/>
        <w:rPr>
          <w:rFonts w:eastAsia="Times New Roman"/>
          <w:b w:val="0"/>
          <w:szCs w:val="22"/>
          <w:lang w:val="en-GB" w:eastAsia="en-GB"/>
        </w:rPr>
      </w:pPr>
      <w:hyperlink w:anchor="_Toc29286273" w:history="1">
        <w:r w:rsidR="003111FE" w:rsidRPr="008E2800">
          <w:rPr>
            <w:rStyle w:val="Hyperlink"/>
            <w:rFonts w:cs="Calibri"/>
          </w:rPr>
          <w:t>LIST OF TABLES AND FIGURES</w:t>
        </w:r>
        <w:r w:rsidR="003111FE">
          <w:rPr>
            <w:webHidden/>
          </w:rPr>
          <w:tab/>
        </w:r>
        <w:r w:rsidR="003111FE">
          <w:rPr>
            <w:webHidden/>
          </w:rPr>
          <w:fldChar w:fldCharType="begin"/>
        </w:r>
        <w:r w:rsidR="003111FE">
          <w:rPr>
            <w:webHidden/>
          </w:rPr>
          <w:instrText xml:space="preserve"> PAGEREF _Toc29286273 \h </w:instrText>
        </w:r>
        <w:r w:rsidR="003111FE">
          <w:rPr>
            <w:webHidden/>
          </w:rPr>
        </w:r>
        <w:r w:rsidR="003111FE">
          <w:rPr>
            <w:webHidden/>
          </w:rPr>
          <w:fldChar w:fldCharType="separate"/>
        </w:r>
        <w:r w:rsidR="00DA4A6D">
          <w:rPr>
            <w:webHidden/>
          </w:rPr>
          <w:t>vi</w:t>
        </w:r>
        <w:r w:rsidR="003111FE">
          <w:rPr>
            <w:webHidden/>
          </w:rPr>
          <w:fldChar w:fldCharType="end"/>
        </w:r>
      </w:hyperlink>
    </w:p>
    <w:p w14:paraId="4E9DFF22" w14:textId="77777777" w:rsidR="003111FE" w:rsidRPr="00FF7866" w:rsidRDefault="00AF4C41">
      <w:pPr>
        <w:pStyle w:val="TOC1"/>
        <w:rPr>
          <w:rFonts w:eastAsia="Times New Roman"/>
          <w:b w:val="0"/>
          <w:szCs w:val="22"/>
          <w:lang w:val="en-GB" w:eastAsia="en-GB"/>
        </w:rPr>
      </w:pPr>
      <w:hyperlink w:anchor="_Toc29286274" w:history="1">
        <w:r w:rsidR="003111FE" w:rsidRPr="008E2800">
          <w:rPr>
            <w:rStyle w:val="Hyperlink"/>
          </w:rPr>
          <w:t>OPERATIONAL DEFINITION OF TERMS</w:t>
        </w:r>
        <w:r w:rsidR="003111FE">
          <w:rPr>
            <w:webHidden/>
          </w:rPr>
          <w:tab/>
        </w:r>
        <w:r w:rsidR="003111FE">
          <w:rPr>
            <w:webHidden/>
          </w:rPr>
          <w:fldChar w:fldCharType="begin"/>
        </w:r>
        <w:r w:rsidR="003111FE">
          <w:rPr>
            <w:webHidden/>
          </w:rPr>
          <w:instrText xml:space="preserve"> PAGEREF _Toc29286274 \h </w:instrText>
        </w:r>
        <w:r w:rsidR="003111FE">
          <w:rPr>
            <w:webHidden/>
          </w:rPr>
        </w:r>
        <w:r w:rsidR="003111FE">
          <w:rPr>
            <w:webHidden/>
          </w:rPr>
          <w:fldChar w:fldCharType="separate"/>
        </w:r>
        <w:r w:rsidR="00DA4A6D">
          <w:rPr>
            <w:webHidden/>
          </w:rPr>
          <w:t>vii</w:t>
        </w:r>
        <w:r w:rsidR="003111FE">
          <w:rPr>
            <w:webHidden/>
          </w:rPr>
          <w:fldChar w:fldCharType="end"/>
        </w:r>
      </w:hyperlink>
    </w:p>
    <w:p w14:paraId="4E9DFF23" w14:textId="77777777" w:rsidR="003111FE" w:rsidRPr="00FF7866" w:rsidRDefault="00AF4C41">
      <w:pPr>
        <w:pStyle w:val="TOC1"/>
        <w:rPr>
          <w:rFonts w:eastAsia="Times New Roman"/>
          <w:b w:val="0"/>
          <w:szCs w:val="22"/>
          <w:lang w:val="en-GB" w:eastAsia="en-GB"/>
        </w:rPr>
      </w:pPr>
      <w:hyperlink w:anchor="_Toc29286275" w:history="1">
        <w:r w:rsidR="003111FE" w:rsidRPr="008E2800">
          <w:rPr>
            <w:rStyle w:val="Hyperlink"/>
            <w:rFonts w:cs="Calibri"/>
          </w:rPr>
          <w:t>INTRODUCTION TO THE CONTEXT</w:t>
        </w:r>
        <w:r w:rsidR="003111FE">
          <w:rPr>
            <w:webHidden/>
          </w:rPr>
          <w:tab/>
        </w:r>
        <w:r w:rsidR="003111FE">
          <w:rPr>
            <w:webHidden/>
          </w:rPr>
          <w:fldChar w:fldCharType="begin"/>
        </w:r>
        <w:r w:rsidR="003111FE">
          <w:rPr>
            <w:webHidden/>
          </w:rPr>
          <w:instrText xml:space="preserve"> PAGEREF _Toc29286275 \h </w:instrText>
        </w:r>
        <w:r w:rsidR="003111FE">
          <w:rPr>
            <w:webHidden/>
          </w:rPr>
        </w:r>
        <w:r w:rsidR="003111FE">
          <w:rPr>
            <w:webHidden/>
          </w:rPr>
          <w:fldChar w:fldCharType="separate"/>
        </w:r>
        <w:r w:rsidR="00DA4A6D">
          <w:rPr>
            <w:webHidden/>
          </w:rPr>
          <w:t>1</w:t>
        </w:r>
        <w:r w:rsidR="003111FE">
          <w:rPr>
            <w:webHidden/>
          </w:rPr>
          <w:fldChar w:fldCharType="end"/>
        </w:r>
      </w:hyperlink>
    </w:p>
    <w:p w14:paraId="4E9DFF24" w14:textId="77777777" w:rsidR="003111FE" w:rsidRPr="00FF7866" w:rsidRDefault="00AF4C41">
      <w:pPr>
        <w:pStyle w:val="TOC1"/>
        <w:rPr>
          <w:rFonts w:eastAsia="Times New Roman"/>
          <w:b w:val="0"/>
          <w:szCs w:val="22"/>
          <w:lang w:val="en-GB" w:eastAsia="en-GB"/>
        </w:rPr>
      </w:pPr>
      <w:hyperlink w:anchor="_Toc29286276" w:history="1">
        <w:r w:rsidR="003111FE" w:rsidRPr="008E2800">
          <w:rPr>
            <w:rStyle w:val="Hyperlink"/>
          </w:rPr>
          <w:t>NRC WASH INTERVENTION IN KAKUMA AND KALOBEYEI</w:t>
        </w:r>
        <w:r w:rsidR="003111FE">
          <w:rPr>
            <w:webHidden/>
          </w:rPr>
          <w:tab/>
        </w:r>
        <w:r w:rsidR="003111FE">
          <w:rPr>
            <w:webHidden/>
          </w:rPr>
          <w:fldChar w:fldCharType="begin"/>
        </w:r>
        <w:r w:rsidR="003111FE">
          <w:rPr>
            <w:webHidden/>
          </w:rPr>
          <w:instrText xml:space="preserve"> PAGEREF _Toc29286276 \h </w:instrText>
        </w:r>
        <w:r w:rsidR="003111FE">
          <w:rPr>
            <w:webHidden/>
          </w:rPr>
        </w:r>
        <w:r w:rsidR="003111FE">
          <w:rPr>
            <w:webHidden/>
          </w:rPr>
          <w:fldChar w:fldCharType="separate"/>
        </w:r>
        <w:r w:rsidR="00DA4A6D">
          <w:rPr>
            <w:webHidden/>
          </w:rPr>
          <w:t>2</w:t>
        </w:r>
        <w:r w:rsidR="003111FE">
          <w:rPr>
            <w:webHidden/>
          </w:rPr>
          <w:fldChar w:fldCharType="end"/>
        </w:r>
      </w:hyperlink>
    </w:p>
    <w:p w14:paraId="4E9DFF25" w14:textId="77777777" w:rsidR="003111FE" w:rsidRPr="00FF7866" w:rsidRDefault="00AF4C41">
      <w:pPr>
        <w:pStyle w:val="TOC2"/>
        <w:rPr>
          <w:szCs w:val="22"/>
          <w:lang w:val="en-GB" w:eastAsia="en-GB"/>
        </w:rPr>
      </w:pPr>
      <w:hyperlink w:anchor="_Toc29286277" w:history="1">
        <w:r w:rsidR="003111FE" w:rsidRPr="008E2800">
          <w:rPr>
            <w:rStyle w:val="Hyperlink"/>
            <w:rFonts w:cs="Calibri"/>
          </w:rPr>
          <w:t>Project Outcomes</w:t>
        </w:r>
        <w:r w:rsidR="003111FE">
          <w:rPr>
            <w:webHidden/>
          </w:rPr>
          <w:tab/>
        </w:r>
        <w:r w:rsidR="003111FE">
          <w:rPr>
            <w:webHidden/>
          </w:rPr>
          <w:fldChar w:fldCharType="begin"/>
        </w:r>
        <w:r w:rsidR="003111FE">
          <w:rPr>
            <w:webHidden/>
          </w:rPr>
          <w:instrText xml:space="preserve"> PAGEREF _Toc29286277 \h </w:instrText>
        </w:r>
        <w:r w:rsidR="003111FE">
          <w:rPr>
            <w:webHidden/>
          </w:rPr>
        </w:r>
        <w:r w:rsidR="003111FE">
          <w:rPr>
            <w:webHidden/>
          </w:rPr>
          <w:fldChar w:fldCharType="separate"/>
        </w:r>
        <w:r w:rsidR="00DA4A6D">
          <w:rPr>
            <w:webHidden/>
          </w:rPr>
          <w:t>2</w:t>
        </w:r>
        <w:r w:rsidR="003111FE">
          <w:rPr>
            <w:webHidden/>
          </w:rPr>
          <w:fldChar w:fldCharType="end"/>
        </w:r>
      </w:hyperlink>
    </w:p>
    <w:p w14:paraId="4E9DFF26" w14:textId="77777777" w:rsidR="003111FE" w:rsidRPr="00FF7866" w:rsidRDefault="00AF4C41">
      <w:pPr>
        <w:pStyle w:val="TOC1"/>
        <w:rPr>
          <w:rFonts w:eastAsia="Times New Roman"/>
          <w:b w:val="0"/>
          <w:szCs w:val="22"/>
          <w:lang w:val="en-GB" w:eastAsia="en-GB"/>
        </w:rPr>
      </w:pPr>
      <w:hyperlink w:anchor="_Toc29286278" w:history="1">
        <w:r w:rsidR="003111FE" w:rsidRPr="008E2800">
          <w:rPr>
            <w:rStyle w:val="Hyperlink"/>
          </w:rPr>
          <w:t>THE KNOWLEDGE ATTITUDE AND PRACTICE SURVEY</w:t>
        </w:r>
        <w:r w:rsidR="003111FE">
          <w:rPr>
            <w:webHidden/>
          </w:rPr>
          <w:tab/>
        </w:r>
        <w:r w:rsidR="003111FE">
          <w:rPr>
            <w:webHidden/>
          </w:rPr>
          <w:fldChar w:fldCharType="begin"/>
        </w:r>
        <w:r w:rsidR="003111FE">
          <w:rPr>
            <w:webHidden/>
          </w:rPr>
          <w:instrText xml:space="preserve"> PAGEREF _Toc29286278 \h </w:instrText>
        </w:r>
        <w:r w:rsidR="003111FE">
          <w:rPr>
            <w:webHidden/>
          </w:rPr>
        </w:r>
        <w:r w:rsidR="003111FE">
          <w:rPr>
            <w:webHidden/>
          </w:rPr>
          <w:fldChar w:fldCharType="separate"/>
        </w:r>
        <w:r w:rsidR="00DA4A6D">
          <w:rPr>
            <w:webHidden/>
          </w:rPr>
          <w:t>4</w:t>
        </w:r>
        <w:r w:rsidR="003111FE">
          <w:rPr>
            <w:webHidden/>
          </w:rPr>
          <w:fldChar w:fldCharType="end"/>
        </w:r>
      </w:hyperlink>
    </w:p>
    <w:p w14:paraId="4E9DFF27" w14:textId="77777777" w:rsidR="003111FE" w:rsidRPr="00FF7866" w:rsidRDefault="00AF4C41">
      <w:pPr>
        <w:pStyle w:val="TOC2"/>
        <w:rPr>
          <w:szCs w:val="22"/>
          <w:lang w:val="en-GB" w:eastAsia="en-GB"/>
        </w:rPr>
      </w:pPr>
      <w:hyperlink w:anchor="_Toc29286279" w:history="1">
        <w:r w:rsidR="003111FE" w:rsidRPr="008E2800">
          <w:rPr>
            <w:rStyle w:val="Hyperlink"/>
            <w:rFonts w:cs="Calibri"/>
          </w:rPr>
          <w:t>Purpose of the Survey</w:t>
        </w:r>
        <w:r w:rsidR="003111FE">
          <w:rPr>
            <w:webHidden/>
          </w:rPr>
          <w:tab/>
        </w:r>
        <w:r w:rsidR="003111FE">
          <w:rPr>
            <w:webHidden/>
          </w:rPr>
          <w:fldChar w:fldCharType="begin"/>
        </w:r>
        <w:r w:rsidR="003111FE">
          <w:rPr>
            <w:webHidden/>
          </w:rPr>
          <w:instrText xml:space="preserve"> PAGEREF _Toc29286279 \h </w:instrText>
        </w:r>
        <w:r w:rsidR="003111FE">
          <w:rPr>
            <w:webHidden/>
          </w:rPr>
        </w:r>
        <w:r w:rsidR="003111FE">
          <w:rPr>
            <w:webHidden/>
          </w:rPr>
          <w:fldChar w:fldCharType="separate"/>
        </w:r>
        <w:r w:rsidR="00DA4A6D">
          <w:rPr>
            <w:webHidden/>
          </w:rPr>
          <w:t>4</w:t>
        </w:r>
        <w:r w:rsidR="003111FE">
          <w:rPr>
            <w:webHidden/>
          </w:rPr>
          <w:fldChar w:fldCharType="end"/>
        </w:r>
      </w:hyperlink>
    </w:p>
    <w:p w14:paraId="4E9DFF28" w14:textId="77777777" w:rsidR="003111FE" w:rsidRPr="00FF7866" w:rsidRDefault="00AF4C41">
      <w:pPr>
        <w:pStyle w:val="TOC2"/>
        <w:rPr>
          <w:szCs w:val="22"/>
          <w:lang w:val="en-GB" w:eastAsia="en-GB"/>
        </w:rPr>
      </w:pPr>
      <w:hyperlink w:anchor="_Toc29286280" w:history="1">
        <w:r w:rsidR="003111FE" w:rsidRPr="008E2800">
          <w:rPr>
            <w:rStyle w:val="Hyperlink"/>
            <w:rFonts w:cs="Calibri"/>
          </w:rPr>
          <w:t>Methodology</w:t>
        </w:r>
        <w:r w:rsidR="003111FE">
          <w:rPr>
            <w:webHidden/>
          </w:rPr>
          <w:tab/>
        </w:r>
        <w:r w:rsidR="003111FE">
          <w:rPr>
            <w:webHidden/>
          </w:rPr>
          <w:fldChar w:fldCharType="begin"/>
        </w:r>
        <w:r w:rsidR="003111FE">
          <w:rPr>
            <w:webHidden/>
          </w:rPr>
          <w:instrText xml:space="preserve"> PAGEREF _Toc29286280 \h </w:instrText>
        </w:r>
        <w:r w:rsidR="003111FE">
          <w:rPr>
            <w:webHidden/>
          </w:rPr>
        </w:r>
        <w:r w:rsidR="003111FE">
          <w:rPr>
            <w:webHidden/>
          </w:rPr>
          <w:fldChar w:fldCharType="separate"/>
        </w:r>
        <w:r w:rsidR="00DA4A6D">
          <w:rPr>
            <w:webHidden/>
          </w:rPr>
          <w:t>4</w:t>
        </w:r>
        <w:r w:rsidR="003111FE">
          <w:rPr>
            <w:webHidden/>
          </w:rPr>
          <w:fldChar w:fldCharType="end"/>
        </w:r>
      </w:hyperlink>
    </w:p>
    <w:p w14:paraId="4E9DFF29" w14:textId="77777777" w:rsidR="003111FE" w:rsidRPr="00FF7866" w:rsidRDefault="00AF4C41">
      <w:pPr>
        <w:pStyle w:val="TOC2"/>
        <w:rPr>
          <w:szCs w:val="22"/>
          <w:lang w:val="en-GB" w:eastAsia="en-GB"/>
        </w:rPr>
      </w:pPr>
      <w:hyperlink w:anchor="_Toc29286281" w:history="1">
        <w:r w:rsidR="003111FE" w:rsidRPr="008E2800">
          <w:rPr>
            <w:rStyle w:val="Hyperlink"/>
            <w:rFonts w:cs="Calibri"/>
          </w:rPr>
          <w:t>Survey Areas and Participants</w:t>
        </w:r>
        <w:r w:rsidR="003111FE">
          <w:rPr>
            <w:webHidden/>
          </w:rPr>
          <w:tab/>
        </w:r>
        <w:r w:rsidR="003111FE">
          <w:rPr>
            <w:webHidden/>
          </w:rPr>
          <w:fldChar w:fldCharType="begin"/>
        </w:r>
        <w:r w:rsidR="003111FE">
          <w:rPr>
            <w:webHidden/>
          </w:rPr>
          <w:instrText xml:space="preserve"> PAGEREF _Toc29286281 \h </w:instrText>
        </w:r>
        <w:r w:rsidR="003111FE">
          <w:rPr>
            <w:webHidden/>
          </w:rPr>
        </w:r>
        <w:r w:rsidR="003111FE">
          <w:rPr>
            <w:webHidden/>
          </w:rPr>
          <w:fldChar w:fldCharType="separate"/>
        </w:r>
        <w:r w:rsidR="00DA4A6D">
          <w:rPr>
            <w:webHidden/>
          </w:rPr>
          <w:t>4</w:t>
        </w:r>
        <w:r w:rsidR="003111FE">
          <w:rPr>
            <w:webHidden/>
          </w:rPr>
          <w:fldChar w:fldCharType="end"/>
        </w:r>
      </w:hyperlink>
    </w:p>
    <w:p w14:paraId="4E9DFF2A" w14:textId="77777777" w:rsidR="003111FE" w:rsidRPr="00FF7866" w:rsidRDefault="00AF4C41">
      <w:pPr>
        <w:pStyle w:val="TOC2"/>
        <w:rPr>
          <w:szCs w:val="22"/>
          <w:lang w:val="en-GB" w:eastAsia="en-GB"/>
        </w:rPr>
      </w:pPr>
      <w:hyperlink w:anchor="_Toc29286282" w:history="1">
        <w:r w:rsidR="003111FE" w:rsidRPr="008E2800">
          <w:rPr>
            <w:rStyle w:val="Hyperlink"/>
            <w:rFonts w:cs="Calibri"/>
          </w:rPr>
          <w:t>Data Collection Methods</w:t>
        </w:r>
        <w:r w:rsidR="003111FE">
          <w:rPr>
            <w:webHidden/>
          </w:rPr>
          <w:tab/>
        </w:r>
        <w:r w:rsidR="003111FE">
          <w:rPr>
            <w:webHidden/>
          </w:rPr>
          <w:fldChar w:fldCharType="begin"/>
        </w:r>
        <w:r w:rsidR="003111FE">
          <w:rPr>
            <w:webHidden/>
          </w:rPr>
          <w:instrText xml:space="preserve"> PAGEREF _Toc29286282 \h </w:instrText>
        </w:r>
        <w:r w:rsidR="003111FE">
          <w:rPr>
            <w:webHidden/>
          </w:rPr>
        </w:r>
        <w:r w:rsidR="003111FE">
          <w:rPr>
            <w:webHidden/>
          </w:rPr>
          <w:fldChar w:fldCharType="separate"/>
        </w:r>
        <w:r w:rsidR="00DA4A6D">
          <w:rPr>
            <w:webHidden/>
          </w:rPr>
          <w:t>5</w:t>
        </w:r>
        <w:r w:rsidR="003111FE">
          <w:rPr>
            <w:webHidden/>
          </w:rPr>
          <w:fldChar w:fldCharType="end"/>
        </w:r>
      </w:hyperlink>
    </w:p>
    <w:p w14:paraId="4E9DFF2B" w14:textId="77777777" w:rsidR="003111FE" w:rsidRPr="00FF7866" w:rsidRDefault="00AF4C41">
      <w:pPr>
        <w:pStyle w:val="TOC2"/>
        <w:rPr>
          <w:szCs w:val="22"/>
          <w:lang w:val="en-GB" w:eastAsia="en-GB"/>
        </w:rPr>
      </w:pPr>
      <w:hyperlink w:anchor="_Toc29286283" w:history="1">
        <w:r w:rsidR="003111FE" w:rsidRPr="008E2800">
          <w:rPr>
            <w:rStyle w:val="Hyperlink"/>
            <w:rFonts w:cs="Calibri"/>
          </w:rPr>
          <w:t>Sample Size</w:t>
        </w:r>
        <w:r w:rsidR="003111FE">
          <w:rPr>
            <w:webHidden/>
          </w:rPr>
          <w:tab/>
        </w:r>
        <w:r w:rsidR="003111FE">
          <w:rPr>
            <w:webHidden/>
          </w:rPr>
          <w:fldChar w:fldCharType="begin"/>
        </w:r>
        <w:r w:rsidR="003111FE">
          <w:rPr>
            <w:webHidden/>
          </w:rPr>
          <w:instrText xml:space="preserve"> PAGEREF _Toc29286283 \h </w:instrText>
        </w:r>
        <w:r w:rsidR="003111FE">
          <w:rPr>
            <w:webHidden/>
          </w:rPr>
        </w:r>
        <w:r w:rsidR="003111FE">
          <w:rPr>
            <w:webHidden/>
          </w:rPr>
          <w:fldChar w:fldCharType="separate"/>
        </w:r>
        <w:r w:rsidR="00DA4A6D">
          <w:rPr>
            <w:webHidden/>
          </w:rPr>
          <w:t>5</w:t>
        </w:r>
        <w:r w:rsidR="003111FE">
          <w:rPr>
            <w:webHidden/>
          </w:rPr>
          <w:fldChar w:fldCharType="end"/>
        </w:r>
      </w:hyperlink>
    </w:p>
    <w:p w14:paraId="4E9DFF2C" w14:textId="77777777" w:rsidR="003111FE" w:rsidRPr="00FF7866" w:rsidRDefault="00AF4C41">
      <w:pPr>
        <w:pStyle w:val="TOC1"/>
        <w:rPr>
          <w:rFonts w:eastAsia="Times New Roman"/>
          <w:b w:val="0"/>
          <w:szCs w:val="22"/>
          <w:lang w:val="en-GB" w:eastAsia="en-GB"/>
        </w:rPr>
      </w:pPr>
      <w:hyperlink w:anchor="_Toc29286285" w:history="1">
        <w:r w:rsidR="003111FE" w:rsidRPr="008E2800">
          <w:rPr>
            <w:rStyle w:val="Hyperlink"/>
          </w:rPr>
          <w:t>FINDINGS</w:t>
        </w:r>
        <w:r w:rsidR="003111FE">
          <w:rPr>
            <w:webHidden/>
          </w:rPr>
          <w:tab/>
        </w:r>
        <w:r w:rsidR="003111FE">
          <w:rPr>
            <w:webHidden/>
          </w:rPr>
          <w:fldChar w:fldCharType="begin"/>
        </w:r>
        <w:r w:rsidR="003111FE">
          <w:rPr>
            <w:webHidden/>
          </w:rPr>
          <w:instrText xml:space="preserve"> PAGEREF _Toc29286285 \h </w:instrText>
        </w:r>
        <w:r w:rsidR="003111FE">
          <w:rPr>
            <w:webHidden/>
          </w:rPr>
        </w:r>
        <w:r w:rsidR="003111FE">
          <w:rPr>
            <w:webHidden/>
          </w:rPr>
          <w:fldChar w:fldCharType="separate"/>
        </w:r>
        <w:r w:rsidR="00DA4A6D">
          <w:rPr>
            <w:webHidden/>
          </w:rPr>
          <w:t>7</w:t>
        </w:r>
        <w:r w:rsidR="003111FE">
          <w:rPr>
            <w:webHidden/>
          </w:rPr>
          <w:fldChar w:fldCharType="end"/>
        </w:r>
      </w:hyperlink>
    </w:p>
    <w:p w14:paraId="4E9DFF2D" w14:textId="77777777" w:rsidR="003111FE" w:rsidRPr="00FF7866" w:rsidRDefault="00AF4C41">
      <w:pPr>
        <w:pStyle w:val="TOC2"/>
        <w:rPr>
          <w:szCs w:val="22"/>
          <w:lang w:val="en-GB" w:eastAsia="en-GB"/>
        </w:rPr>
      </w:pPr>
      <w:hyperlink w:anchor="_Toc29286286" w:history="1">
        <w:r w:rsidR="003111FE" w:rsidRPr="008E2800">
          <w:rPr>
            <w:rStyle w:val="Hyperlink"/>
            <w:rFonts w:cs="Calibri"/>
          </w:rPr>
          <w:t>Response Rate</w:t>
        </w:r>
        <w:r w:rsidR="003111FE">
          <w:rPr>
            <w:webHidden/>
          </w:rPr>
          <w:tab/>
        </w:r>
        <w:r w:rsidR="003111FE">
          <w:rPr>
            <w:webHidden/>
          </w:rPr>
          <w:fldChar w:fldCharType="begin"/>
        </w:r>
        <w:r w:rsidR="003111FE">
          <w:rPr>
            <w:webHidden/>
          </w:rPr>
          <w:instrText xml:space="preserve"> PAGEREF _Toc29286286 \h </w:instrText>
        </w:r>
        <w:r w:rsidR="003111FE">
          <w:rPr>
            <w:webHidden/>
          </w:rPr>
        </w:r>
        <w:r w:rsidR="003111FE">
          <w:rPr>
            <w:webHidden/>
          </w:rPr>
          <w:fldChar w:fldCharType="separate"/>
        </w:r>
        <w:r w:rsidR="00DA4A6D">
          <w:rPr>
            <w:webHidden/>
          </w:rPr>
          <w:t>7</w:t>
        </w:r>
        <w:r w:rsidR="003111FE">
          <w:rPr>
            <w:webHidden/>
          </w:rPr>
          <w:fldChar w:fldCharType="end"/>
        </w:r>
      </w:hyperlink>
    </w:p>
    <w:p w14:paraId="4E9DFF2E" w14:textId="77777777" w:rsidR="003111FE" w:rsidRPr="00FF7866" w:rsidRDefault="00AF4C41">
      <w:pPr>
        <w:pStyle w:val="TOC2"/>
        <w:rPr>
          <w:szCs w:val="22"/>
          <w:lang w:val="en-GB" w:eastAsia="en-GB"/>
        </w:rPr>
      </w:pPr>
      <w:hyperlink w:anchor="_Toc29286287" w:history="1">
        <w:r w:rsidR="003111FE" w:rsidRPr="008E2800">
          <w:rPr>
            <w:rStyle w:val="Hyperlink"/>
            <w:rFonts w:cs="Calibri"/>
          </w:rPr>
          <w:t>Water Access</w:t>
        </w:r>
        <w:r w:rsidR="003111FE">
          <w:rPr>
            <w:webHidden/>
          </w:rPr>
          <w:tab/>
        </w:r>
        <w:r w:rsidR="003111FE">
          <w:rPr>
            <w:webHidden/>
          </w:rPr>
          <w:fldChar w:fldCharType="begin"/>
        </w:r>
        <w:r w:rsidR="003111FE">
          <w:rPr>
            <w:webHidden/>
          </w:rPr>
          <w:instrText xml:space="preserve"> PAGEREF _Toc29286287 \h </w:instrText>
        </w:r>
        <w:r w:rsidR="003111FE">
          <w:rPr>
            <w:webHidden/>
          </w:rPr>
        </w:r>
        <w:r w:rsidR="003111FE">
          <w:rPr>
            <w:webHidden/>
          </w:rPr>
          <w:fldChar w:fldCharType="separate"/>
        </w:r>
        <w:r w:rsidR="00DA4A6D">
          <w:rPr>
            <w:webHidden/>
          </w:rPr>
          <w:t>7</w:t>
        </w:r>
        <w:r w:rsidR="003111FE">
          <w:rPr>
            <w:webHidden/>
          </w:rPr>
          <w:fldChar w:fldCharType="end"/>
        </w:r>
      </w:hyperlink>
    </w:p>
    <w:p w14:paraId="4E9DFF2F" w14:textId="77777777" w:rsidR="003111FE" w:rsidRPr="00FF7866" w:rsidRDefault="00AF4C41">
      <w:pPr>
        <w:pStyle w:val="TOC2"/>
        <w:rPr>
          <w:szCs w:val="22"/>
          <w:lang w:val="en-GB" w:eastAsia="en-GB"/>
        </w:rPr>
      </w:pPr>
      <w:hyperlink w:anchor="_Toc29286291" w:history="1">
        <w:r w:rsidR="003111FE" w:rsidRPr="008E2800">
          <w:rPr>
            <w:rStyle w:val="Hyperlink"/>
            <w:rFonts w:cs="Calibri"/>
          </w:rPr>
          <w:t>Water Collection</w:t>
        </w:r>
        <w:r w:rsidR="003111FE">
          <w:rPr>
            <w:webHidden/>
          </w:rPr>
          <w:tab/>
        </w:r>
        <w:r w:rsidR="003111FE">
          <w:rPr>
            <w:webHidden/>
          </w:rPr>
          <w:fldChar w:fldCharType="begin"/>
        </w:r>
        <w:r w:rsidR="003111FE">
          <w:rPr>
            <w:webHidden/>
          </w:rPr>
          <w:instrText xml:space="preserve"> PAGEREF _Toc29286291 \h </w:instrText>
        </w:r>
        <w:r w:rsidR="003111FE">
          <w:rPr>
            <w:webHidden/>
          </w:rPr>
        </w:r>
        <w:r w:rsidR="003111FE">
          <w:rPr>
            <w:webHidden/>
          </w:rPr>
          <w:fldChar w:fldCharType="separate"/>
        </w:r>
        <w:r w:rsidR="00DA4A6D">
          <w:rPr>
            <w:webHidden/>
          </w:rPr>
          <w:t>8</w:t>
        </w:r>
        <w:r w:rsidR="003111FE">
          <w:rPr>
            <w:webHidden/>
          </w:rPr>
          <w:fldChar w:fldCharType="end"/>
        </w:r>
      </w:hyperlink>
    </w:p>
    <w:p w14:paraId="4E9DFF30" w14:textId="77777777" w:rsidR="003111FE" w:rsidRPr="00FF7866" w:rsidRDefault="00AF4C41">
      <w:pPr>
        <w:pStyle w:val="TOC2"/>
        <w:rPr>
          <w:szCs w:val="22"/>
          <w:lang w:val="en-GB" w:eastAsia="en-GB"/>
        </w:rPr>
      </w:pPr>
      <w:hyperlink w:anchor="_Toc29286293" w:history="1">
        <w:r w:rsidR="003111FE" w:rsidRPr="008E2800">
          <w:rPr>
            <w:rStyle w:val="Hyperlink"/>
            <w:rFonts w:cs="Calibri"/>
          </w:rPr>
          <w:t>Paying for Water</w:t>
        </w:r>
        <w:r w:rsidR="003111FE">
          <w:rPr>
            <w:webHidden/>
          </w:rPr>
          <w:tab/>
        </w:r>
        <w:r w:rsidR="003111FE">
          <w:rPr>
            <w:webHidden/>
          </w:rPr>
          <w:fldChar w:fldCharType="begin"/>
        </w:r>
        <w:r w:rsidR="003111FE">
          <w:rPr>
            <w:webHidden/>
          </w:rPr>
          <w:instrText xml:space="preserve"> PAGEREF _Toc29286293 \h </w:instrText>
        </w:r>
        <w:r w:rsidR="003111FE">
          <w:rPr>
            <w:webHidden/>
          </w:rPr>
        </w:r>
        <w:r w:rsidR="003111FE">
          <w:rPr>
            <w:webHidden/>
          </w:rPr>
          <w:fldChar w:fldCharType="separate"/>
        </w:r>
        <w:r w:rsidR="00DA4A6D">
          <w:rPr>
            <w:webHidden/>
          </w:rPr>
          <w:t>9</w:t>
        </w:r>
        <w:r w:rsidR="003111FE">
          <w:rPr>
            <w:webHidden/>
          </w:rPr>
          <w:fldChar w:fldCharType="end"/>
        </w:r>
      </w:hyperlink>
    </w:p>
    <w:p w14:paraId="4E9DFF31" w14:textId="77777777" w:rsidR="003111FE" w:rsidRPr="00FF7866" w:rsidRDefault="00AF4C41">
      <w:pPr>
        <w:pStyle w:val="TOC2"/>
        <w:rPr>
          <w:szCs w:val="22"/>
          <w:lang w:val="en-GB" w:eastAsia="en-GB"/>
        </w:rPr>
      </w:pPr>
      <w:hyperlink w:anchor="_Toc29286294" w:history="1">
        <w:r w:rsidR="003111FE" w:rsidRPr="008E2800">
          <w:rPr>
            <w:rStyle w:val="Hyperlink"/>
            <w:rFonts w:cs="Calibri"/>
          </w:rPr>
          <w:t>Water Quality Practices</w:t>
        </w:r>
        <w:r w:rsidR="003111FE">
          <w:rPr>
            <w:webHidden/>
          </w:rPr>
          <w:tab/>
        </w:r>
        <w:r w:rsidR="003111FE">
          <w:rPr>
            <w:webHidden/>
          </w:rPr>
          <w:fldChar w:fldCharType="begin"/>
        </w:r>
        <w:r w:rsidR="003111FE">
          <w:rPr>
            <w:webHidden/>
          </w:rPr>
          <w:instrText xml:space="preserve"> PAGEREF _Toc29286294 \h </w:instrText>
        </w:r>
        <w:r w:rsidR="003111FE">
          <w:rPr>
            <w:webHidden/>
          </w:rPr>
        </w:r>
        <w:r w:rsidR="003111FE">
          <w:rPr>
            <w:webHidden/>
          </w:rPr>
          <w:fldChar w:fldCharType="separate"/>
        </w:r>
        <w:r w:rsidR="00DA4A6D">
          <w:rPr>
            <w:webHidden/>
          </w:rPr>
          <w:t>10</w:t>
        </w:r>
        <w:r w:rsidR="003111FE">
          <w:rPr>
            <w:webHidden/>
          </w:rPr>
          <w:fldChar w:fldCharType="end"/>
        </w:r>
      </w:hyperlink>
    </w:p>
    <w:p w14:paraId="4E9DFF32" w14:textId="77777777" w:rsidR="003111FE" w:rsidRPr="00FF7866" w:rsidRDefault="00AF4C41">
      <w:pPr>
        <w:pStyle w:val="TOC2"/>
        <w:rPr>
          <w:szCs w:val="22"/>
          <w:lang w:val="en-GB" w:eastAsia="en-GB"/>
        </w:rPr>
      </w:pPr>
      <w:hyperlink w:anchor="_Toc29286297" w:history="1">
        <w:r w:rsidR="003111FE" w:rsidRPr="008E2800">
          <w:rPr>
            <w:rStyle w:val="Hyperlink"/>
            <w:rFonts w:cs="Calibri"/>
          </w:rPr>
          <w:t>Method of Cleaning Containers</w:t>
        </w:r>
        <w:r w:rsidR="003111FE">
          <w:rPr>
            <w:webHidden/>
          </w:rPr>
          <w:tab/>
        </w:r>
        <w:r w:rsidR="003111FE">
          <w:rPr>
            <w:webHidden/>
          </w:rPr>
          <w:fldChar w:fldCharType="begin"/>
        </w:r>
        <w:r w:rsidR="003111FE">
          <w:rPr>
            <w:webHidden/>
          </w:rPr>
          <w:instrText xml:space="preserve"> PAGEREF _Toc29286297 \h </w:instrText>
        </w:r>
        <w:r w:rsidR="003111FE">
          <w:rPr>
            <w:webHidden/>
          </w:rPr>
        </w:r>
        <w:r w:rsidR="003111FE">
          <w:rPr>
            <w:webHidden/>
          </w:rPr>
          <w:fldChar w:fldCharType="separate"/>
        </w:r>
        <w:r w:rsidR="00DA4A6D">
          <w:rPr>
            <w:webHidden/>
          </w:rPr>
          <w:t>11</w:t>
        </w:r>
        <w:r w:rsidR="003111FE">
          <w:rPr>
            <w:webHidden/>
          </w:rPr>
          <w:fldChar w:fldCharType="end"/>
        </w:r>
      </w:hyperlink>
    </w:p>
    <w:p w14:paraId="4E9DFF33" w14:textId="77777777" w:rsidR="003111FE" w:rsidRPr="00FF7866" w:rsidRDefault="00AF4C41">
      <w:pPr>
        <w:pStyle w:val="TOC2"/>
        <w:rPr>
          <w:szCs w:val="22"/>
          <w:lang w:val="en-GB" w:eastAsia="en-GB"/>
        </w:rPr>
      </w:pPr>
      <w:hyperlink w:anchor="_Toc29286299" w:history="1">
        <w:r w:rsidR="003111FE" w:rsidRPr="008E2800">
          <w:rPr>
            <w:rStyle w:val="Hyperlink"/>
            <w:rFonts w:cs="Calibri"/>
          </w:rPr>
          <w:t>Water Treatment Practices</w:t>
        </w:r>
        <w:r w:rsidR="003111FE">
          <w:rPr>
            <w:webHidden/>
          </w:rPr>
          <w:tab/>
        </w:r>
        <w:r w:rsidR="003111FE">
          <w:rPr>
            <w:webHidden/>
          </w:rPr>
          <w:fldChar w:fldCharType="begin"/>
        </w:r>
        <w:r w:rsidR="003111FE">
          <w:rPr>
            <w:webHidden/>
          </w:rPr>
          <w:instrText xml:space="preserve"> PAGEREF _Toc29286299 \h </w:instrText>
        </w:r>
        <w:r w:rsidR="003111FE">
          <w:rPr>
            <w:webHidden/>
          </w:rPr>
        </w:r>
        <w:r w:rsidR="003111FE">
          <w:rPr>
            <w:webHidden/>
          </w:rPr>
          <w:fldChar w:fldCharType="separate"/>
        </w:r>
        <w:r w:rsidR="00DA4A6D">
          <w:rPr>
            <w:webHidden/>
          </w:rPr>
          <w:t>12</w:t>
        </w:r>
        <w:r w:rsidR="003111FE">
          <w:rPr>
            <w:webHidden/>
          </w:rPr>
          <w:fldChar w:fldCharType="end"/>
        </w:r>
      </w:hyperlink>
    </w:p>
    <w:p w14:paraId="4E9DFF34" w14:textId="77777777" w:rsidR="003111FE" w:rsidRPr="00FF7866" w:rsidRDefault="00AF4C41">
      <w:pPr>
        <w:pStyle w:val="TOC2"/>
        <w:rPr>
          <w:szCs w:val="22"/>
          <w:lang w:val="en-GB" w:eastAsia="en-GB"/>
        </w:rPr>
      </w:pPr>
      <w:hyperlink w:anchor="_Toc29286301" w:history="1">
        <w:r w:rsidR="003111FE" w:rsidRPr="008E2800">
          <w:rPr>
            <w:rStyle w:val="Hyperlink"/>
            <w:rFonts w:cs="Calibri"/>
          </w:rPr>
          <w:t>Water Treatment Methods</w:t>
        </w:r>
        <w:r w:rsidR="003111FE">
          <w:rPr>
            <w:webHidden/>
          </w:rPr>
          <w:tab/>
        </w:r>
        <w:r w:rsidR="003111FE">
          <w:rPr>
            <w:webHidden/>
          </w:rPr>
          <w:fldChar w:fldCharType="begin"/>
        </w:r>
        <w:r w:rsidR="003111FE">
          <w:rPr>
            <w:webHidden/>
          </w:rPr>
          <w:instrText xml:space="preserve"> PAGEREF _Toc29286301 \h </w:instrText>
        </w:r>
        <w:r w:rsidR="003111FE">
          <w:rPr>
            <w:webHidden/>
          </w:rPr>
        </w:r>
        <w:r w:rsidR="003111FE">
          <w:rPr>
            <w:webHidden/>
          </w:rPr>
          <w:fldChar w:fldCharType="separate"/>
        </w:r>
        <w:r w:rsidR="00DA4A6D">
          <w:rPr>
            <w:webHidden/>
          </w:rPr>
          <w:t>13</w:t>
        </w:r>
        <w:r w:rsidR="003111FE">
          <w:rPr>
            <w:webHidden/>
          </w:rPr>
          <w:fldChar w:fldCharType="end"/>
        </w:r>
      </w:hyperlink>
    </w:p>
    <w:p w14:paraId="4E9DFF35" w14:textId="77777777" w:rsidR="003111FE" w:rsidRPr="00FF7866" w:rsidRDefault="00AF4C41">
      <w:pPr>
        <w:pStyle w:val="TOC2"/>
        <w:rPr>
          <w:szCs w:val="22"/>
          <w:lang w:val="en-GB" w:eastAsia="en-GB"/>
        </w:rPr>
      </w:pPr>
      <w:hyperlink w:anchor="_Toc29286303" w:history="1">
        <w:r w:rsidR="003111FE" w:rsidRPr="008E2800">
          <w:rPr>
            <w:rStyle w:val="Hyperlink"/>
            <w:rFonts w:cs="Calibri"/>
          </w:rPr>
          <w:t>Sanitation and Hygiene</w:t>
        </w:r>
        <w:r w:rsidR="003111FE">
          <w:rPr>
            <w:webHidden/>
          </w:rPr>
          <w:tab/>
        </w:r>
        <w:r w:rsidR="003111FE">
          <w:rPr>
            <w:webHidden/>
          </w:rPr>
          <w:fldChar w:fldCharType="begin"/>
        </w:r>
        <w:r w:rsidR="003111FE">
          <w:rPr>
            <w:webHidden/>
          </w:rPr>
          <w:instrText xml:space="preserve"> PAGEREF _Toc29286303 \h </w:instrText>
        </w:r>
        <w:r w:rsidR="003111FE">
          <w:rPr>
            <w:webHidden/>
          </w:rPr>
        </w:r>
        <w:r w:rsidR="003111FE">
          <w:rPr>
            <w:webHidden/>
          </w:rPr>
          <w:fldChar w:fldCharType="separate"/>
        </w:r>
        <w:r w:rsidR="00DA4A6D">
          <w:rPr>
            <w:webHidden/>
          </w:rPr>
          <w:t>15</w:t>
        </w:r>
        <w:r w:rsidR="003111FE">
          <w:rPr>
            <w:webHidden/>
          </w:rPr>
          <w:fldChar w:fldCharType="end"/>
        </w:r>
      </w:hyperlink>
    </w:p>
    <w:p w14:paraId="4E9DFF36" w14:textId="77777777" w:rsidR="003111FE" w:rsidRPr="00FF7866" w:rsidRDefault="00AF4C41">
      <w:pPr>
        <w:pStyle w:val="TOC2"/>
        <w:rPr>
          <w:szCs w:val="22"/>
          <w:lang w:val="en-GB" w:eastAsia="en-GB"/>
        </w:rPr>
      </w:pPr>
      <w:hyperlink w:anchor="_Toc29286309" w:history="1">
        <w:r w:rsidR="003111FE" w:rsidRPr="008E2800">
          <w:rPr>
            <w:rStyle w:val="Hyperlink"/>
            <w:rFonts w:cs="Calibri"/>
          </w:rPr>
          <w:t>Handwashing Device</w:t>
        </w:r>
        <w:r w:rsidR="003111FE">
          <w:rPr>
            <w:webHidden/>
          </w:rPr>
          <w:tab/>
        </w:r>
        <w:r w:rsidR="003111FE">
          <w:rPr>
            <w:webHidden/>
          </w:rPr>
          <w:fldChar w:fldCharType="begin"/>
        </w:r>
        <w:r w:rsidR="003111FE">
          <w:rPr>
            <w:webHidden/>
          </w:rPr>
          <w:instrText xml:space="preserve"> PAGEREF _Toc29286309 \h </w:instrText>
        </w:r>
        <w:r w:rsidR="003111FE">
          <w:rPr>
            <w:webHidden/>
          </w:rPr>
        </w:r>
        <w:r w:rsidR="003111FE">
          <w:rPr>
            <w:webHidden/>
          </w:rPr>
          <w:fldChar w:fldCharType="separate"/>
        </w:r>
        <w:r w:rsidR="00DA4A6D">
          <w:rPr>
            <w:webHidden/>
          </w:rPr>
          <w:t>18</w:t>
        </w:r>
        <w:r w:rsidR="003111FE">
          <w:rPr>
            <w:webHidden/>
          </w:rPr>
          <w:fldChar w:fldCharType="end"/>
        </w:r>
      </w:hyperlink>
    </w:p>
    <w:p w14:paraId="4E9DFF37" w14:textId="77777777" w:rsidR="003111FE" w:rsidRPr="00FF7866" w:rsidRDefault="00AF4C41">
      <w:pPr>
        <w:pStyle w:val="TOC2"/>
        <w:rPr>
          <w:szCs w:val="22"/>
          <w:lang w:val="en-GB" w:eastAsia="en-GB"/>
        </w:rPr>
      </w:pPr>
      <w:hyperlink w:anchor="_Toc29286311" w:history="1">
        <w:r w:rsidR="003111FE" w:rsidRPr="008E2800">
          <w:rPr>
            <w:rStyle w:val="Hyperlink"/>
            <w:rFonts w:cs="Calibri"/>
          </w:rPr>
          <w:t>Food Handling Practices</w:t>
        </w:r>
        <w:r w:rsidR="003111FE">
          <w:rPr>
            <w:webHidden/>
          </w:rPr>
          <w:tab/>
        </w:r>
        <w:r w:rsidR="003111FE">
          <w:rPr>
            <w:webHidden/>
          </w:rPr>
          <w:fldChar w:fldCharType="begin"/>
        </w:r>
        <w:r w:rsidR="003111FE">
          <w:rPr>
            <w:webHidden/>
          </w:rPr>
          <w:instrText xml:space="preserve"> PAGEREF _Toc29286311 \h </w:instrText>
        </w:r>
        <w:r w:rsidR="003111FE">
          <w:rPr>
            <w:webHidden/>
          </w:rPr>
        </w:r>
        <w:r w:rsidR="003111FE">
          <w:rPr>
            <w:webHidden/>
          </w:rPr>
          <w:fldChar w:fldCharType="separate"/>
        </w:r>
        <w:r w:rsidR="00DA4A6D">
          <w:rPr>
            <w:webHidden/>
          </w:rPr>
          <w:t>19</w:t>
        </w:r>
        <w:r w:rsidR="003111FE">
          <w:rPr>
            <w:webHidden/>
          </w:rPr>
          <w:fldChar w:fldCharType="end"/>
        </w:r>
      </w:hyperlink>
    </w:p>
    <w:p w14:paraId="4E9DFF38" w14:textId="77777777" w:rsidR="003111FE" w:rsidRPr="00FF7866" w:rsidRDefault="00AF4C41">
      <w:pPr>
        <w:pStyle w:val="TOC2"/>
        <w:rPr>
          <w:szCs w:val="22"/>
          <w:lang w:val="en-GB" w:eastAsia="en-GB"/>
        </w:rPr>
      </w:pPr>
      <w:hyperlink w:anchor="_Toc29286313" w:history="1">
        <w:r w:rsidR="003111FE" w:rsidRPr="008E2800">
          <w:rPr>
            <w:rStyle w:val="Hyperlink"/>
            <w:rFonts w:cs="Calibri"/>
          </w:rPr>
          <w:t>Domestic Solid Waste Disposal</w:t>
        </w:r>
        <w:r w:rsidR="003111FE">
          <w:rPr>
            <w:webHidden/>
          </w:rPr>
          <w:tab/>
        </w:r>
        <w:r w:rsidR="003111FE">
          <w:rPr>
            <w:webHidden/>
          </w:rPr>
          <w:fldChar w:fldCharType="begin"/>
        </w:r>
        <w:r w:rsidR="003111FE">
          <w:rPr>
            <w:webHidden/>
          </w:rPr>
          <w:instrText xml:space="preserve"> PAGEREF _Toc29286313 \h </w:instrText>
        </w:r>
        <w:r w:rsidR="003111FE">
          <w:rPr>
            <w:webHidden/>
          </w:rPr>
        </w:r>
        <w:r w:rsidR="003111FE">
          <w:rPr>
            <w:webHidden/>
          </w:rPr>
          <w:fldChar w:fldCharType="separate"/>
        </w:r>
        <w:r w:rsidR="00DA4A6D">
          <w:rPr>
            <w:webHidden/>
          </w:rPr>
          <w:t>19</w:t>
        </w:r>
        <w:r w:rsidR="003111FE">
          <w:rPr>
            <w:webHidden/>
          </w:rPr>
          <w:fldChar w:fldCharType="end"/>
        </w:r>
      </w:hyperlink>
    </w:p>
    <w:p w14:paraId="4E9DFF39" w14:textId="77777777" w:rsidR="003111FE" w:rsidRPr="00FF7866" w:rsidRDefault="00AF4C41">
      <w:pPr>
        <w:pStyle w:val="TOC2"/>
        <w:rPr>
          <w:szCs w:val="22"/>
          <w:lang w:val="en-GB" w:eastAsia="en-GB"/>
        </w:rPr>
      </w:pPr>
      <w:hyperlink w:anchor="_Toc29286315" w:history="1">
        <w:r w:rsidR="003111FE" w:rsidRPr="008E2800">
          <w:rPr>
            <w:rStyle w:val="Hyperlink"/>
            <w:rFonts w:cs="Calibri"/>
          </w:rPr>
          <w:t>Hygiene and Health Messaging</w:t>
        </w:r>
        <w:r w:rsidR="003111FE">
          <w:rPr>
            <w:webHidden/>
          </w:rPr>
          <w:tab/>
        </w:r>
        <w:r w:rsidR="003111FE">
          <w:rPr>
            <w:webHidden/>
          </w:rPr>
          <w:fldChar w:fldCharType="begin"/>
        </w:r>
        <w:r w:rsidR="003111FE">
          <w:rPr>
            <w:webHidden/>
          </w:rPr>
          <w:instrText xml:space="preserve"> PAGEREF _Toc29286315 \h </w:instrText>
        </w:r>
        <w:r w:rsidR="003111FE">
          <w:rPr>
            <w:webHidden/>
          </w:rPr>
        </w:r>
        <w:r w:rsidR="003111FE">
          <w:rPr>
            <w:webHidden/>
          </w:rPr>
          <w:fldChar w:fldCharType="separate"/>
        </w:r>
        <w:r w:rsidR="00DA4A6D">
          <w:rPr>
            <w:webHidden/>
          </w:rPr>
          <w:t>20</w:t>
        </w:r>
        <w:r w:rsidR="003111FE">
          <w:rPr>
            <w:webHidden/>
          </w:rPr>
          <w:fldChar w:fldCharType="end"/>
        </w:r>
      </w:hyperlink>
    </w:p>
    <w:p w14:paraId="4E9DFF3A" w14:textId="77777777" w:rsidR="003111FE" w:rsidRPr="00FF7866" w:rsidRDefault="00AF4C41">
      <w:pPr>
        <w:pStyle w:val="TOC2"/>
        <w:rPr>
          <w:szCs w:val="22"/>
          <w:lang w:val="en-GB" w:eastAsia="en-GB"/>
        </w:rPr>
      </w:pPr>
      <w:hyperlink w:anchor="_Toc29286316" w:history="1">
        <w:r w:rsidR="003111FE" w:rsidRPr="008E2800">
          <w:rPr>
            <w:rStyle w:val="Hyperlink"/>
            <w:rFonts w:cs="Calibri"/>
          </w:rPr>
          <w:t>Receipt of Non Food Items (NFIs)</w:t>
        </w:r>
        <w:r w:rsidR="003111FE">
          <w:rPr>
            <w:webHidden/>
          </w:rPr>
          <w:tab/>
        </w:r>
        <w:r w:rsidR="003111FE">
          <w:rPr>
            <w:webHidden/>
          </w:rPr>
          <w:fldChar w:fldCharType="begin"/>
        </w:r>
        <w:r w:rsidR="003111FE">
          <w:rPr>
            <w:webHidden/>
          </w:rPr>
          <w:instrText xml:space="preserve"> PAGEREF _Toc29286316 \h </w:instrText>
        </w:r>
        <w:r w:rsidR="003111FE">
          <w:rPr>
            <w:webHidden/>
          </w:rPr>
        </w:r>
        <w:r w:rsidR="003111FE">
          <w:rPr>
            <w:webHidden/>
          </w:rPr>
          <w:fldChar w:fldCharType="separate"/>
        </w:r>
        <w:r w:rsidR="00DA4A6D">
          <w:rPr>
            <w:webHidden/>
          </w:rPr>
          <w:t>21</w:t>
        </w:r>
        <w:r w:rsidR="003111FE">
          <w:rPr>
            <w:webHidden/>
          </w:rPr>
          <w:fldChar w:fldCharType="end"/>
        </w:r>
      </w:hyperlink>
    </w:p>
    <w:p w14:paraId="4E9DFF3B" w14:textId="77777777" w:rsidR="003111FE" w:rsidRPr="00FF7866" w:rsidRDefault="00AF4C41">
      <w:pPr>
        <w:pStyle w:val="TOC2"/>
        <w:rPr>
          <w:szCs w:val="22"/>
          <w:lang w:val="en-GB" w:eastAsia="en-GB"/>
        </w:rPr>
      </w:pPr>
      <w:hyperlink w:anchor="_Toc29286317" w:history="1">
        <w:r w:rsidR="003111FE" w:rsidRPr="008E2800">
          <w:rPr>
            <w:rStyle w:val="Hyperlink"/>
            <w:rFonts w:cs="Calibri"/>
          </w:rPr>
          <w:t>Menstrual Hygiene</w:t>
        </w:r>
        <w:r w:rsidR="003111FE">
          <w:rPr>
            <w:webHidden/>
          </w:rPr>
          <w:tab/>
        </w:r>
        <w:r w:rsidR="003111FE">
          <w:rPr>
            <w:webHidden/>
          </w:rPr>
          <w:fldChar w:fldCharType="begin"/>
        </w:r>
        <w:r w:rsidR="003111FE">
          <w:rPr>
            <w:webHidden/>
          </w:rPr>
          <w:instrText xml:space="preserve"> PAGEREF _Toc29286317 \h </w:instrText>
        </w:r>
        <w:r w:rsidR="003111FE">
          <w:rPr>
            <w:webHidden/>
          </w:rPr>
        </w:r>
        <w:r w:rsidR="003111FE">
          <w:rPr>
            <w:webHidden/>
          </w:rPr>
          <w:fldChar w:fldCharType="separate"/>
        </w:r>
        <w:r w:rsidR="00DA4A6D">
          <w:rPr>
            <w:webHidden/>
          </w:rPr>
          <w:t>21</w:t>
        </w:r>
        <w:r w:rsidR="003111FE">
          <w:rPr>
            <w:webHidden/>
          </w:rPr>
          <w:fldChar w:fldCharType="end"/>
        </w:r>
      </w:hyperlink>
    </w:p>
    <w:p w14:paraId="4E9DFF3C" w14:textId="77777777" w:rsidR="003111FE" w:rsidRPr="00FF7866" w:rsidRDefault="00AF4C41">
      <w:pPr>
        <w:pStyle w:val="TOC2"/>
        <w:rPr>
          <w:szCs w:val="22"/>
          <w:lang w:val="en-GB" w:eastAsia="en-GB"/>
        </w:rPr>
      </w:pPr>
      <w:hyperlink w:anchor="_Toc29286319" w:history="1">
        <w:r w:rsidR="003111FE" w:rsidRPr="008E2800">
          <w:rPr>
            <w:rStyle w:val="Hyperlink"/>
          </w:rPr>
          <w:t>Safe Programming</w:t>
        </w:r>
        <w:r w:rsidR="003111FE">
          <w:rPr>
            <w:webHidden/>
          </w:rPr>
          <w:tab/>
        </w:r>
        <w:r w:rsidR="003111FE">
          <w:rPr>
            <w:webHidden/>
          </w:rPr>
          <w:fldChar w:fldCharType="begin"/>
        </w:r>
        <w:r w:rsidR="003111FE">
          <w:rPr>
            <w:webHidden/>
          </w:rPr>
          <w:instrText xml:space="preserve"> PAGEREF _Toc29286319 \h </w:instrText>
        </w:r>
        <w:r w:rsidR="003111FE">
          <w:rPr>
            <w:webHidden/>
          </w:rPr>
        </w:r>
        <w:r w:rsidR="003111FE">
          <w:rPr>
            <w:webHidden/>
          </w:rPr>
          <w:fldChar w:fldCharType="separate"/>
        </w:r>
        <w:r w:rsidR="00DA4A6D">
          <w:rPr>
            <w:webHidden/>
          </w:rPr>
          <w:t>22</w:t>
        </w:r>
        <w:r w:rsidR="003111FE">
          <w:rPr>
            <w:webHidden/>
          </w:rPr>
          <w:fldChar w:fldCharType="end"/>
        </w:r>
      </w:hyperlink>
    </w:p>
    <w:p w14:paraId="4E9DFF3D" w14:textId="77777777" w:rsidR="003111FE" w:rsidRPr="00FF7866" w:rsidRDefault="00AF4C41">
      <w:pPr>
        <w:pStyle w:val="TOC1"/>
        <w:rPr>
          <w:rFonts w:eastAsia="Times New Roman"/>
          <w:b w:val="0"/>
          <w:szCs w:val="22"/>
          <w:lang w:val="en-GB" w:eastAsia="en-GB"/>
        </w:rPr>
      </w:pPr>
      <w:hyperlink w:anchor="_Toc29286322" w:history="1">
        <w:r w:rsidR="003111FE" w:rsidRPr="008E2800">
          <w:rPr>
            <w:rStyle w:val="Hyperlink"/>
            <w:rFonts w:cs="Calibri"/>
          </w:rPr>
          <w:t>CONCLUSION</w:t>
        </w:r>
        <w:r w:rsidR="003111FE">
          <w:rPr>
            <w:webHidden/>
          </w:rPr>
          <w:tab/>
        </w:r>
        <w:r w:rsidR="003111FE">
          <w:rPr>
            <w:webHidden/>
          </w:rPr>
          <w:fldChar w:fldCharType="begin"/>
        </w:r>
        <w:r w:rsidR="003111FE">
          <w:rPr>
            <w:webHidden/>
          </w:rPr>
          <w:instrText xml:space="preserve"> PAGEREF _Toc29286322 \h </w:instrText>
        </w:r>
        <w:r w:rsidR="003111FE">
          <w:rPr>
            <w:webHidden/>
          </w:rPr>
        </w:r>
        <w:r w:rsidR="003111FE">
          <w:rPr>
            <w:webHidden/>
          </w:rPr>
          <w:fldChar w:fldCharType="separate"/>
        </w:r>
        <w:r w:rsidR="00DA4A6D">
          <w:rPr>
            <w:webHidden/>
          </w:rPr>
          <w:t>25</w:t>
        </w:r>
        <w:r w:rsidR="003111FE">
          <w:rPr>
            <w:webHidden/>
          </w:rPr>
          <w:fldChar w:fldCharType="end"/>
        </w:r>
      </w:hyperlink>
    </w:p>
    <w:p w14:paraId="4E9DFF3E" w14:textId="77777777" w:rsidR="004D57D2" w:rsidRDefault="004D57D2">
      <w:r>
        <w:rPr>
          <w:b/>
          <w:bCs/>
          <w:noProof/>
        </w:rPr>
        <w:fldChar w:fldCharType="end"/>
      </w:r>
    </w:p>
    <w:p w14:paraId="4E9DFF3F" w14:textId="77777777" w:rsidR="004D57D2" w:rsidRPr="009E0050" w:rsidRDefault="004D57D2" w:rsidP="006D68D4">
      <w:pPr>
        <w:spacing w:before="240"/>
        <w:rPr>
          <w:rFonts w:cs="Calibri"/>
        </w:rPr>
      </w:pPr>
    </w:p>
    <w:p w14:paraId="4E9DFF40" w14:textId="77777777" w:rsidR="006B1BDF" w:rsidRDefault="006D68D4" w:rsidP="006D68D4">
      <w:pPr>
        <w:pStyle w:val="Heading1"/>
        <w:rPr>
          <w:rFonts w:cs="Calibri"/>
          <w:szCs w:val="22"/>
        </w:rPr>
      </w:pPr>
      <w:r w:rsidRPr="009E0050">
        <w:rPr>
          <w:rFonts w:cs="Calibri"/>
          <w:szCs w:val="22"/>
        </w:rPr>
        <w:br w:type="page"/>
      </w:r>
      <w:bookmarkStart w:id="3" w:name="_Toc29286273"/>
      <w:r w:rsidR="006B1BDF" w:rsidRPr="009E0050">
        <w:rPr>
          <w:rFonts w:cs="Calibri"/>
          <w:szCs w:val="22"/>
        </w:rPr>
        <w:lastRenderedPageBreak/>
        <w:t>LIST OF TABLES AND FIGURES</w:t>
      </w:r>
      <w:bookmarkEnd w:id="3"/>
    </w:p>
    <w:p w14:paraId="4E9DFF41" w14:textId="77777777" w:rsidR="00483302" w:rsidRPr="00483302" w:rsidRDefault="00AF4C41" w:rsidP="00483302">
      <w:pPr>
        <w:pStyle w:val="TOC2"/>
        <w:rPr>
          <w:szCs w:val="22"/>
          <w:lang w:val="en-GB" w:eastAsia="en-GB"/>
        </w:rPr>
      </w:pPr>
      <w:hyperlink w:anchor="_Toc29286112" w:history="1">
        <w:r w:rsidR="00483302" w:rsidRPr="00483302">
          <w:rPr>
            <w:rStyle w:val="Hyperlink"/>
            <w:rFonts w:cs="Calibri"/>
            <w:color w:val="auto"/>
            <w:u w:val="none"/>
          </w:rPr>
          <w:t>Table 1: Sample size</w:t>
        </w:r>
        <w:r w:rsidR="00483302" w:rsidRPr="00483302">
          <w:rPr>
            <w:webHidden/>
          </w:rPr>
          <w:tab/>
        </w:r>
        <w:r w:rsidR="00483302" w:rsidRPr="00483302">
          <w:rPr>
            <w:webHidden/>
          </w:rPr>
          <w:fldChar w:fldCharType="begin"/>
        </w:r>
        <w:r w:rsidR="00483302" w:rsidRPr="00483302">
          <w:rPr>
            <w:webHidden/>
          </w:rPr>
          <w:instrText xml:space="preserve"> PAGEREF _Toc29286112 \h </w:instrText>
        </w:r>
        <w:r w:rsidR="00483302" w:rsidRPr="00483302">
          <w:rPr>
            <w:webHidden/>
          </w:rPr>
        </w:r>
        <w:r w:rsidR="00483302" w:rsidRPr="00483302">
          <w:rPr>
            <w:webHidden/>
          </w:rPr>
          <w:fldChar w:fldCharType="separate"/>
        </w:r>
        <w:r w:rsidR="00483302" w:rsidRPr="00483302">
          <w:rPr>
            <w:webHidden/>
          </w:rPr>
          <w:t>5</w:t>
        </w:r>
        <w:r w:rsidR="00483302" w:rsidRPr="00483302">
          <w:rPr>
            <w:webHidden/>
          </w:rPr>
          <w:fldChar w:fldCharType="end"/>
        </w:r>
      </w:hyperlink>
    </w:p>
    <w:p w14:paraId="4E9DFF42" w14:textId="77777777" w:rsidR="00483302" w:rsidRPr="00483302" w:rsidRDefault="00AF4C41" w:rsidP="00483302">
      <w:pPr>
        <w:pStyle w:val="TOC2"/>
        <w:rPr>
          <w:szCs w:val="22"/>
          <w:lang w:val="en-GB" w:eastAsia="en-GB"/>
        </w:rPr>
      </w:pPr>
      <w:hyperlink w:anchor="_Toc29286116" w:history="1">
        <w:r w:rsidR="00483302" w:rsidRPr="00483302">
          <w:rPr>
            <w:rStyle w:val="Hyperlink"/>
            <w:rFonts w:cs="Calibri"/>
            <w:color w:val="auto"/>
            <w:u w:val="none"/>
          </w:rPr>
          <w:t>Table 2: Global Mandatory Indicators on Water Access</w:t>
        </w:r>
        <w:r w:rsidR="00483302" w:rsidRPr="00483302">
          <w:rPr>
            <w:webHidden/>
          </w:rPr>
          <w:tab/>
        </w:r>
        <w:r w:rsidR="00483302" w:rsidRPr="00483302">
          <w:rPr>
            <w:webHidden/>
          </w:rPr>
          <w:fldChar w:fldCharType="begin"/>
        </w:r>
        <w:r w:rsidR="00483302" w:rsidRPr="00483302">
          <w:rPr>
            <w:webHidden/>
          </w:rPr>
          <w:instrText xml:space="preserve"> PAGEREF _Toc29286116 \h </w:instrText>
        </w:r>
        <w:r w:rsidR="00483302" w:rsidRPr="00483302">
          <w:rPr>
            <w:webHidden/>
          </w:rPr>
        </w:r>
        <w:r w:rsidR="00483302" w:rsidRPr="00483302">
          <w:rPr>
            <w:webHidden/>
          </w:rPr>
          <w:fldChar w:fldCharType="separate"/>
        </w:r>
        <w:r w:rsidR="00483302" w:rsidRPr="00483302">
          <w:rPr>
            <w:webHidden/>
          </w:rPr>
          <w:t>6</w:t>
        </w:r>
        <w:r w:rsidR="00483302" w:rsidRPr="00483302">
          <w:rPr>
            <w:webHidden/>
          </w:rPr>
          <w:fldChar w:fldCharType="end"/>
        </w:r>
      </w:hyperlink>
    </w:p>
    <w:p w14:paraId="4E9DFF43" w14:textId="77777777" w:rsidR="00483302" w:rsidRPr="00483302" w:rsidRDefault="00AF4C41" w:rsidP="00483302">
      <w:pPr>
        <w:pStyle w:val="TOC2"/>
        <w:rPr>
          <w:szCs w:val="22"/>
          <w:lang w:val="en-GB" w:eastAsia="en-GB"/>
        </w:rPr>
      </w:pPr>
      <w:hyperlink w:anchor="_Toc29286117" w:history="1">
        <w:r w:rsidR="00483302" w:rsidRPr="00483302">
          <w:rPr>
            <w:rStyle w:val="Hyperlink"/>
            <w:rFonts w:cs="Calibri"/>
            <w:color w:val="auto"/>
            <w:u w:val="none"/>
          </w:rPr>
          <w:t>Figure 1: Water Per Capita Trends in 2019</w:t>
        </w:r>
        <w:r w:rsidR="00483302" w:rsidRPr="00483302">
          <w:rPr>
            <w:webHidden/>
          </w:rPr>
          <w:tab/>
        </w:r>
        <w:r w:rsidR="00483302" w:rsidRPr="00483302">
          <w:rPr>
            <w:webHidden/>
          </w:rPr>
          <w:fldChar w:fldCharType="begin"/>
        </w:r>
        <w:r w:rsidR="00483302" w:rsidRPr="00483302">
          <w:rPr>
            <w:webHidden/>
          </w:rPr>
          <w:instrText xml:space="preserve"> PAGEREF _Toc29286117 \h </w:instrText>
        </w:r>
        <w:r w:rsidR="00483302" w:rsidRPr="00483302">
          <w:rPr>
            <w:webHidden/>
          </w:rPr>
        </w:r>
        <w:r w:rsidR="00483302" w:rsidRPr="00483302">
          <w:rPr>
            <w:webHidden/>
          </w:rPr>
          <w:fldChar w:fldCharType="separate"/>
        </w:r>
        <w:r w:rsidR="00483302" w:rsidRPr="00483302">
          <w:rPr>
            <w:webHidden/>
          </w:rPr>
          <w:t>6</w:t>
        </w:r>
        <w:r w:rsidR="00483302" w:rsidRPr="00483302">
          <w:rPr>
            <w:webHidden/>
          </w:rPr>
          <w:fldChar w:fldCharType="end"/>
        </w:r>
      </w:hyperlink>
    </w:p>
    <w:p w14:paraId="4E9DFF44" w14:textId="77777777" w:rsidR="00483302" w:rsidRPr="00483302" w:rsidRDefault="00AF4C41" w:rsidP="00483302">
      <w:pPr>
        <w:pStyle w:val="TOC2"/>
        <w:rPr>
          <w:szCs w:val="22"/>
          <w:lang w:val="en-GB" w:eastAsia="en-GB"/>
        </w:rPr>
      </w:pPr>
      <w:hyperlink w:anchor="_Toc29286118" w:history="1">
        <w:r w:rsidR="00483302" w:rsidRPr="00483302">
          <w:rPr>
            <w:rStyle w:val="Hyperlink"/>
            <w:rFonts w:cs="Calibri"/>
            <w:color w:val="auto"/>
            <w:u w:val="none"/>
          </w:rPr>
          <w:t>Table 3: Global Mandatory Indicators per Camp</w:t>
        </w:r>
        <w:r w:rsidR="00483302" w:rsidRPr="00483302">
          <w:rPr>
            <w:webHidden/>
          </w:rPr>
          <w:tab/>
        </w:r>
        <w:r w:rsidR="00483302" w:rsidRPr="00483302">
          <w:rPr>
            <w:webHidden/>
          </w:rPr>
          <w:fldChar w:fldCharType="begin"/>
        </w:r>
        <w:r w:rsidR="00483302" w:rsidRPr="00483302">
          <w:rPr>
            <w:webHidden/>
          </w:rPr>
          <w:instrText xml:space="preserve"> PAGEREF _Toc29286118 \h </w:instrText>
        </w:r>
        <w:r w:rsidR="00483302" w:rsidRPr="00483302">
          <w:rPr>
            <w:webHidden/>
          </w:rPr>
        </w:r>
        <w:r w:rsidR="00483302" w:rsidRPr="00483302">
          <w:rPr>
            <w:webHidden/>
          </w:rPr>
          <w:fldChar w:fldCharType="separate"/>
        </w:r>
        <w:r w:rsidR="00483302" w:rsidRPr="00483302">
          <w:rPr>
            <w:webHidden/>
          </w:rPr>
          <w:t>7</w:t>
        </w:r>
        <w:r w:rsidR="00483302" w:rsidRPr="00483302">
          <w:rPr>
            <w:webHidden/>
          </w:rPr>
          <w:fldChar w:fldCharType="end"/>
        </w:r>
      </w:hyperlink>
    </w:p>
    <w:p w14:paraId="4E9DFF45" w14:textId="77777777" w:rsidR="00483302" w:rsidRPr="00483302" w:rsidRDefault="00AF4C41" w:rsidP="00483302">
      <w:pPr>
        <w:pStyle w:val="TOC2"/>
        <w:rPr>
          <w:szCs w:val="22"/>
          <w:lang w:val="en-GB" w:eastAsia="en-GB"/>
        </w:rPr>
      </w:pPr>
      <w:hyperlink w:anchor="_Toc29286120" w:history="1">
        <w:r w:rsidR="00483302" w:rsidRPr="00483302">
          <w:rPr>
            <w:rStyle w:val="Hyperlink"/>
            <w:rFonts w:cs="Calibri"/>
            <w:color w:val="auto"/>
            <w:u w:val="none"/>
          </w:rPr>
          <w:t>Figure 2: Water Collection in the Household</w:t>
        </w:r>
        <w:r w:rsidR="00483302" w:rsidRPr="00483302">
          <w:rPr>
            <w:webHidden/>
          </w:rPr>
          <w:tab/>
        </w:r>
        <w:r w:rsidR="00483302" w:rsidRPr="00483302">
          <w:rPr>
            <w:webHidden/>
          </w:rPr>
          <w:fldChar w:fldCharType="begin"/>
        </w:r>
        <w:r w:rsidR="00483302" w:rsidRPr="00483302">
          <w:rPr>
            <w:webHidden/>
          </w:rPr>
          <w:instrText xml:space="preserve"> PAGEREF _Toc29286120 \h </w:instrText>
        </w:r>
        <w:r w:rsidR="00483302" w:rsidRPr="00483302">
          <w:rPr>
            <w:webHidden/>
          </w:rPr>
        </w:r>
        <w:r w:rsidR="00483302" w:rsidRPr="00483302">
          <w:rPr>
            <w:webHidden/>
          </w:rPr>
          <w:fldChar w:fldCharType="separate"/>
        </w:r>
        <w:r w:rsidR="00483302" w:rsidRPr="00483302">
          <w:rPr>
            <w:webHidden/>
          </w:rPr>
          <w:t>8</w:t>
        </w:r>
        <w:r w:rsidR="00483302" w:rsidRPr="00483302">
          <w:rPr>
            <w:webHidden/>
          </w:rPr>
          <w:fldChar w:fldCharType="end"/>
        </w:r>
      </w:hyperlink>
    </w:p>
    <w:p w14:paraId="4E9DFF46" w14:textId="77777777" w:rsidR="00483302" w:rsidRPr="00483302" w:rsidRDefault="00AF4C41" w:rsidP="00483302">
      <w:pPr>
        <w:pStyle w:val="TOC2"/>
        <w:rPr>
          <w:szCs w:val="22"/>
          <w:lang w:val="en-GB" w:eastAsia="en-GB"/>
        </w:rPr>
      </w:pPr>
      <w:hyperlink w:anchor="_Toc29286123" w:history="1">
        <w:r w:rsidR="00483302" w:rsidRPr="00483302">
          <w:rPr>
            <w:rStyle w:val="Hyperlink"/>
            <w:rFonts w:cs="Calibri"/>
            <w:color w:val="auto"/>
            <w:u w:val="none"/>
          </w:rPr>
          <w:t>Figure 3: Frequency of Cleaning Water Storage Containers</w:t>
        </w:r>
        <w:r w:rsidR="00483302" w:rsidRPr="00483302">
          <w:rPr>
            <w:webHidden/>
          </w:rPr>
          <w:tab/>
        </w:r>
        <w:r w:rsidR="00483302" w:rsidRPr="00483302">
          <w:rPr>
            <w:webHidden/>
          </w:rPr>
          <w:fldChar w:fldCharType="begin"/>
        </w:r>
        <w:r w:rsidR="00483302" w:rsidRPr="00483302">
          <w:rPr>
            <w:webHidden/>
          </w:rPr>
          <w:instrText xml:space="preserve"> PAGEREF _Toc29286123 \h </w:instrText>
        </w:r>
        <w:r w:rsidR="00483302" w:rsidRPr="00483302">
          <w:rPr>
            <w:webHidden/>
          </w:rPr>
        </w:r>
        <w:r w:rsidR="00483302" w:rsidRPr="00483302">
          <w:rPr>
            <w:webHidden/>
          </w:rPr>
          <w:fldChar w:fldCharType="separate"/>
        </w:r>
        <w:r w:rsidR="00483302" w:rsidRPr="00483302">
          <w:rPr>
            <w:webHidden/>
          </w:rPr>
          <w:t>9</w:t>
        </w:r>
        <w:r w:rsidR="00483302" w:rsidRPr="00483302">
          <w:rPr>
            <w:webHidden/>
          </w:rPr>
          <w:fldChar w:fldCharType="end"/>
        </w:r>
      </w:hyperlink>
    </w:p>
    <w:p w14:paraId="4E9DFF47" w14:textId="77777777" w:rsidR="00483302" w:rsidRPr="00483302" w:rsidRDefault="00AF4C41" w:rsidP="00483302">
      <w:pPr>
        <w:pStyle w:val="TOC2"/>
        <w:rPr>
          <w:szCs w:val="22"/>
          <w:lang w:val="en-GB" w:eastAsia="en-GB"/>
        </w:rPr>
      </w:pPr>
      <w:hyperlink w:anchor="_Toc29286124" w:history="1">
        <w:r w:rsidR="00483302" w:rsidRPr="00483302">
          <w:rPr>
            <w:rStyle w:val="Hyperlink"/>
            <w:rFonts w:cs="Calibri"/>
            <w:color w:val="auto"/>
            <w:u w:val="none"/>
          </w:rPr>
          <w:t>Table 4: Frequency of Cleaning Water Storage Containers</w:t>
        </w:r>
        <w:r w:rsidR="00483302" w:rsidRPr="00483302">
          <w:rPr>
            <w:webHidden/>
          </w:rPr>
          <w:tab/>
        </w:r>
        <w:r w:rsidR="00483302" w:rsidRPr="00483302">
          <w:rPr>
            <w:webHidden/>
          </w:rPr>
          <w:fldChar w:fldCharType="begin"/>
        </w:r>
        <w:r w:rsidR="00483302" w:rsidRPr="00483302">
          <w:rPr>
            <w:webHidden/>
          </w:rPr>
          <w:instrText xml:space="preserve"> PAGEREF _Toc29286124 \h </w:instrText>
        </w:r>
        <w:r w:rsidR="00483302" w:rsidRPr="00483302">
          <w:rPr>
            <w:webHidden/>
          </w:rPr>
        </w:r>
        <w:r w:rsidR="00483302" w:rsidRPr="00483302">
          <w:rPr>
            <w:webHidden/>
          </w:rPr>
          <w:fldChar w:fldCharType="separate"/>
        </w:r>
        <w:r w:rsidR="00483302" w:rsidRPr="00483302">
          <w:rPr>
            <w:webHidden/>
          </w:rPr>
          <w:t>9</w:t>
        </w:r>
        <w:r w:rsidR="00483302" w:rsidRPr="00483302">
          <w:rPr>
            <w:webHidden/>
          </w:rPr>
          <w:fldChar w:fldCharType="end"/>
        </w:r>
      </w:hyperlink>
    </w:p>
    <w:p w14:paraId="4E9DFF48" w14:textId="77777777" w:rsidR="00483302" w:rsidRPr="00483302" w:rsidRDefault="00AF4C41" w:rsidP="00483302">
      <w:pPr>
        <w:pStyle w:val="TOC2"/>
        <w:rPr>
          <w:szCs w:val="22"/>
          <w:lang w:val="en-GB" w:eastAsia="en-GB"/>
        </w:rPr>
      </w:pPr>
      <w:hyperlink w:anchor="_Toc29286126" w:history="1">
        <w:r w:rsidR="00483302" w:rsidRPr="00483302">
          <w:rPr>
            <w:rStyle w:val="Hyperlink"/>
            <w:rFonts w:cs="Calibri"/>
            <w:color w:val="auto"/>
            <w:u w:val="none"/>
          </w:rPr>
          <w:t>Figure 4: Method of Cleaning Containers</w:t>
        </w:r>
        <w:r w:rsidR="00483302" w:rsidRPr="00483302">
          <w:rPr>
            <w:webHidden/>
          </w:rPr>
          <w:tab/>
        </w:r>
        <w:r w:rsidR="00483302" w:rsidRPr="00483302">
          <w:rPr>
            <w:webHidden/>
          </w:rPr>
          <w:fldChar w:fldCharType="begin"/>
        </w:r>
        <w:r w:rsidR="00483302" w:rsidRPr="00483302">
          <w:rPr>
            <w:webHidden/>
          </w:rPr>
          <w:instrText xml:space="preserve"> PAGEREF _Toc29286126 \h </w:instrText>
        </w:r>
        <w:r w:rsidR="00483302" w:rsidRPr="00483302">
          <w:rPr>
            <w:webHidden/>
          </w:rPr>
        </w:r>
        <w:r w:rsidR="00483302" w:rsidRPr="00483302">
          <w:rPr>
            <w:webHidden/>
          </w:rPr>
          <w:fldChar w:fldCharType="separate"/>
        </w:r>
        <w:r w:rsidR="00483302" w:rsidRPr="00483302">
          <w:rPr>
            <w:webHidden/>
          </w:rPr>
          <w:t>10</w:t>
        </w:r>
        <w:r w:rsidR="00483302" w:rsidRPr="00483302">
          <w:rPr>
            <w:webHidden/>
          </w:rPr>
          <w:fldChar w:fldCharType="end"/>
        </w:r>
      </w:hyperlink>
    </w:p>
    <w:p w14:paraId="4E9DFF49" w14:textId="77777777" w:rsidR="00483302" w:rsidRPr="00483302" w:rsidRDefault="00AF4C41" w:rsidP="00483302">
      <w:pPr>
        <w:pStyle w:val="TOC2"/>
        <w:rPr>
          <w:szCs w:val="22"/>
          <w:lang w:val="en-GB" w:eastAsia="en-GB"/>
        </w:rPr>
      </w:pPr>
      <w:hyperlink w:anchor="_Toc29286128" w:history="1">
        <w:r w:rsidR="00483302" w:rsidRPr="00483302">
          <w:rPr>
            <w:rStyle w:val="Hyperlink"/>
            <w:rFonts w:cs="Calibri"/>
            <w:color w:val="auto"/>
            <w:u w:val="none"/>
          </w:rPr>
          <w:t>Figure 5: Water Treatment Practices</w:t>
        </w:r>
        <w:r w:rsidR="00483302" w:rsidRPr="00483302">
          <w:rPr>
            <w:webHidden/>
          </w:rPr>
          <w:tab/>
        </w:r>
        <w:r w:rsidR="00483302" w:rsidRPr="00483302">
          <w:rPr>
            <w:webHidden/>
          </w:rPr>
          <w:fldChar w:fldCharType="begin"/>
        </w:r>
        <w:r w:rsidR="00483302" w:rsidRPr="00483302">
          <w:rPr>
            <w:webHidden/>
          </w:rPr>
          <w:instrText xml:space="preserve"> PAGEREF _Toc29286128 \h </w:instrText>
        </w:r>
        <w:r w:rsidR="00483302" w:rsidRPr="00483302">
          <w:rPr>
            <w:webHidden/>
          </w:rPr>
        </w:r>
        <w:r w:rsidR="00483302" w:rsidRPr="00483302">
          <w:rPr>
            <w:webHidden/>
          </w:rPr>
          <w:fldChar w:fldCharType="separate"/>
        </w:r>
        <w:r w:rsidR="00483302" w:rsidRPr="00483302">
          <w:rPr>
            <w:webHidden/>
          </w:rPr>
          <w:t>11</w:t>
        </w:r>
        <w:r w:rsidR="00483302" w:rsidRPr="00483302">
          <w:rPr>
            <w:webHidden/>
          </w:rPr>
          <w:fldChar w:fldCharType="end"/>
        </w:r>
      </w:hyperlink>
    </w:p>
    <w:p w14:paraId="4E9DFF4A" w14:textId="77777777" w:rsidR="00483302" w:rsidRPr="00483302" w:rsidRDefault="00AF4C41" w:rsidP="00483302">
      <w:pPr>
        <w:pStyle w:val="TOC2"/>
        <w:rPr>
          <w:szCs w:val="22"/>
          <w:lang w:val="en-GB" w:eastAsia="en-GB"/>
        </w:rPr>
      </w:pPr>
      <w:hyperlink w:anchor="_Toc29286130" w:history="1">
        <w:r w:rsidR="00483302" w:rsidRPr="00483302">
          <w:rPr>
            <w:rStyle w:val="Hyperlink"/>
            <w:rFonts w:cs="Calibri"/>
            <w:color w:val="auto"/>
            <w:u w:val="none"/>
          </w:rPr>
          <w:t>Figure 6: Water Treatment Methods</w:t>
        </w:r>
        <w:r w:rsidR="00483302" w:rsidRPr="00483302">
          <w:rPr>
            <w:webHidden/>
          </w:rPr>
          <w:tab/>
        </w:r>
        <w:r w:rsidR="00483302" w:rsidRPr="00483302">
          <w:rPr>
            <w:webHidden/>
          </w:rPr>
          <w:fldChar w:fldCharType="begin"/>
        </w:r>
        <w:r w:rsidR="00483302" w:rsidRPr="00483302">
          <w:rPr>
            <w:webHidden/>
          </w:rPr>
          <w:instrText xml:space="preserve"> PAGEREF _Toc29286130 \h </w:instrText>
        </w:r>
        <w:r w:rsidR="00483302" w:rsidRPr="00483302">
          <w:rPr>
            <w:webHidden/>
          </w:rPr>
        </w:r>
        <w:r w:rsidR="00483302" w:rsidRPr="00483302">
          <w:rPr>
            <w:webHidden/>
          </w:rPr>
          <w:fldChar w:fldCharType="separate"/>
        </w:r>
        <w:r w:rsidR="00483302" w:rsidRPr="00483302">
          <w:rPr>
            <w:webHidden/>
          </w:rPr>
          <w:t>12</w:t>
        </w:r>
        <w:r w:rsidR="00483302" w:rsidRPr="00483302">
          <w:rPr>
            <w:webHidden/>
          </w:rPr>
          <w:fldChar w:fldCharType="end"/>
        </w:r>
      </w:hyperlink>
    </w:p>
    <w:p w14:paraId="4E9DFF4B" w14:textId="77777777" w:rsidR="00483302" w:rsidRPr="00483302" w:rsidRDefault="00AF4C41" w:rsidP="00483302">
      <w:pPr>
        <w:pStyle w:val="TOC2"/>
        <w:rPr>
          <w:szCs w:val="22"/>
          <w:lang w:val="en-GB" w:eastAsia="en-GB"/>
        </w:rPr>
      </w:pPr>
      <w:hyperlink w:anchor="_Toc29286132" w:history="1">
        <w:r w:rsidR="00483302" w:rsidRPr="00483302">
          <w:rPr>
            <w:rStyle w:val="Hyperlink"/>
            <w:rFonts w:cs="Calibri"/>
            <w:color w:val="auto"/>
            <w:u w:val="none"/>
          </w:rPr>
          <w:t>Table 5: Sanitation Global Mandatory Indicators</w:t>
        </w:r>
        <w:r w:rsidR="00483302" w:rsidRPr="00483302">
          <w:rPr>
            <w:webHidden/>
          </w:rPr>
          <w:tab/>
        </w:r>
        <w:r w:rsidR="00483302" w:rsidRPr="00483302">
          <w:rPr>
            <w:webHidden/>
          </w:rPr>
          <w:fldChar w:fldCharType="begin"/>
        </w:r>
        <w:r w:rsidR="00483302" w:rsidRPr="00483302">
          <w:rPr>
            <w:webHidden/>
          </w:rPr>
          <w:instrText xml:space="preserve"> PAGEREF _Toc29286132 \h </w:instrText>
        </w:r>
        <w:r w:rsidR="00483302" w:rsidRPr="00483302">
          <w:rPr>
            <w:webHidden/>
          </w:rPr>
        </w:r>
        <w:r w:rsidR="00483302" w:rsidRPr="00483302">
          <w:rPr>
            <w:webHidden/>
          </w:rPr>
          <w:fldChar w:fldCharType="separate"/>
        </w:r>
        <w:r w:rsidR="00483302" w:rsidRPr="00483302">
          <w:rPr>
            <w:webHidden/>
          </w:rPr>
          <w:t>13</w:t>
        </w:r>
        <w:r w:rsidR="00483302" w:rsidRPr="00483302">
          <w:rPr>
            <w:webHidden/>
          </w:rPr>
          <w:fldChar w:fldCharType="end"/>
        </w:r>
      </w:hyperlink>
    </w:p>
    <w:p w14:paraId="4E9DFF4C" w14:textId="77777777" w:rsidR="00483302" w:rsidRPr="00483302" w:rsidRDefault="00AF4C41" w:rsidP="00483302">
      <w:pPr>
        <w:pStyle w:val="TOC2"/>
        <w:rPr>
          <w:szCs w:val="22"/>
          <w:lang w:val="en-GB" w:eastAsia="en-GB"/>
        </w:rPr>
      </w:pPr>
      <w:hyperlink w:anchor="_Toc29286133" w:history="1">
        <w:r w:rsidR="00483302" w:rsidRPr="00483302">
          <w:rPr>
            <w:rStyle w:val="Hyperlink"/>
            <w:rFonts w:cs="Calibri"/>
            <w:color w:val="auto"/>
            <w:u w:val="none"/>
          </w:rPr>
          <w:t>Figure 7: Latrine Coverage in Kakuma Refugee Camps</w:t>
        </w:r>
        <w:r w:rsidR="00483302" w:rsidRPr="00483302">
          <w:rPr>
            <w:webHidden/>
          </w:rPr>
          <w:tab/>
        </w:r>
        <w:r w:rsidR="00483302" w:rsidRPr="00483302">
          <w:rPr>
            <w:webHidden/>
          </w:rPr>
          <w:fldChar w:fldCharType="begin"/>
        </w:r>
        <w:r w:rsidR="00483302" w:rsidRPr="00483302">
          <w:rPr>
            <w:webHidden/>
          </w:rPr>
          <w:instrText xml:space="preserve"> PAGEREF _Toc29286133 \h </w:instrText>
        </w:r>
        <w:r w:rsidR="00483302" w:rsidRPr="00483302">
          <w:rPr>
            <w:webHidden/>
          </w:rPr>
        </w:r>
        <w:r w:rsidR="00483302" w:rsidRPr="00483302">
          <w:rPr>
            <w:webHidden/>
          </w:rPr>
          <w:fldChar w:fldCharType="separate"/>
        </w:r>
        <w:r w:rsidR="00483302" w:rsidRPr="00483302">
          <w:rPr>
            <w:webHidden/>
          </w:rPr>
          <w:t>14</w:t>
        </w:r>
        <w:r w:rsidR="00483302" w:rsidRPr="00483302">
          <w:rPr>
            <w:webHidden/>
          </w:rPr>
          <w:fldChar w:fldCharType="end"/>
        </w:r>
      </w:hyperlink>
    </w:p>
    <w:p w14:paraId="4E9DFF4D" w14:textId="77777777" w:rsidR="00483302" w:rsidRPr="00483302" w:rsidRDefault="00AF4C41" w:rsidP="00483302">
      <w:pPr>
        <w:pStyle w:val="TOC2"/>
        <w:rPr>
          <w:szCs w:val="22"/>
          <w:lang w:val="en-GB" w:eastAsia="en-GB"/>
        </w:rPr>
      </w:pPr>
      <w:hyperlink w:anchor="_Toc29286134" w:history="1">
        <w:r w:rsidR="00483302" w:rsidRPr="00483302">
          <w:rPr>
            <w:rStyle w:val="Hyperlink"/>
            <w:rFonts w:cs="Calibri"/>
            <w:color w:val="auto"/>
            <w:u w:val="none"/>
          </w:rPr>
          <w:t>Figure 8: Reason for Lack of Privacy</w:t>
        </w:r>
        <w:r w:rsidR="00483302" w:rsidRPr="00483302">
          <w:rPr>
            <w:webHidden/>
          </w:rPr>
          <w:tab/>
        </w:r>
        <w:r w:rsidR="00483302" w:rsidRPr="00483302">
          <w:rPr>
            <w:webHidden/>
          </w:rPr>
          <w:fldChar w:fldCharType="begin"/>
        </w:r>
        <w:r w:rsidR="00483302" w:rsidRPr="00483302">
          <w:rPr>
            <w:webHidden/>
          </w:rPr>
          <w:instrText xml:space="preserve"> PAGEREF _Toc29286134 \h </w:instrText>
        </w:r>
        <w:r w:rsidR="00483302" w:rsidRPr="00483302">
          <w:rPr>
            <w:webHidden/>
          </w:rPr>
        </w:r>
        <w:r w:rsidR="00483302" w:rsidRPr="00483302">
          <w:rPr>
            <w:webHidden/>
          </w:rPr>
          <w:fldChar w:fldCharType="separate"/>
        </w:r>
        <w:r w:rsidR="00483302" w:rsidRPr="00483302">
          <w:rPr>
            <w:webHidden/>
          </w:rPr>
          <w:t>14</w:t>
        </w:r>
        <w:r w:rsidR="00483302" w:rsidRPr="00483302">
          <w:rPr>
            <w:webHidden/>
          </w:rPr>
          <w:fldChar w:fldCharType="end"/>
        </w:r>
      </w:hyperlink>
    </w:p>
    <w:p w14:paraId="4E9DFF4E" w14:textId="77777777" w:rsidR="00483302" w:rsidRPr="00483302" w:rsidRDefault="00AF4C41" w:rsidP="00483302">
      <w:pPr>
        <w:pStyle w:val="TOC2"/>
        <w:rPr>
          <w:szCs w:val="22"/>
          <w:lang w:val="en-GB" w:eastAsia="en-GB"/>
        </w:rPr>
      </w:pPr>
      <w:hyperlink w:anchor="_Toc29286135" w:history="1">
        <w:r w:rsidR="00483302" w:rsidRPr="00483302">
          <w:rPr>
            <w:rStyle w:val="Hyperlink"/>
            <w:rFonts w:cs="Calibri"/>
            <w:color w:val="auto"/>
            <w:u w:val="none"/>
          </w:rPr>
          <w:t>Figure 9: Source of Soap for the Household</w:t>
        </w:r>
        <w:r w:rsidR="00483302" w:rsidRPr="00483302">
          <w:rPr>
            <w:webHidden/>
          </w:rPr>
          <w:tab/>
        </w:r>
        <w:r w:rsidR="00483302" w:rsidRPr="00483302">
          <w:rPr>
            <w:webHidden/>
          </w:rPr>
          <w:fldChar w:fldCharType="begin"/>
        </w:r>
        <w:r w:rsidR="00483302" w:rsidRPr="00483302">
          <w:rPr>
            <w:webHidden/>
          </w:rPr>
          <w:instrText xml:space="preserve"> PAGEREF _Toc29286135 \h </w:instrText>
        </w:r>
        <w:r w:rsidR="00483302" w:rsidRPr="00483302">
          <w:rPr>
            <w:webHidden/>
          </w:rPr>
        </w:r>
        <w:r w:rsidR="00483302" w:rsidRPr="00483302">
          <w:rPr>
            <w:webHidden/>
          </w:rPr>
          <w:fldChar w:fldCharType="separate"/>
        </w:r>
        <w:r w:rsidR="00483302" w:rsidRPr="00483302">
          <w:rPr>
            <w:webHidden/>
          </w:rPr>
          <w:t>15</w:t>
        </w:r>
        <w:r w:rsidR="00483302" w:rsidRPr="00483302">
          <w:rPr>
            <w:webHidden/>
          </w:rPr>
          <w:fldChar w:fldCharType="end"/>
        </w:r>
      </w:hyperlink>
    </w:p>
    <w:p w14:paraId="4E9DFF4F" w14:textId="77777777" w:rsidR="00483302" w:rsidRPr="00483302" w:rsidRDefault="00AF4C41" w:rsidP="00483302">
      <w:pPr>
        <w:pStyle w:val="TOC2"/>
        <w:rPr>
          <w:szCs w:val="22"/>
          <w:lang w:val="en-GB" w:eastAsia="en-GB"/>
        </w:rPr>
      </w:pPr>
      <w:hyperlink w:anchor="_Toc29286136" w:history="1">
        <w:r w:rsidR="00483302" w:rsidRPr="00483302">
          <w:rPr>
            <w:rStyle w:val="Hyperlink"/>
            <w:rFonts w:cs="Calibri"/>
            <w:color w:val="auto"/>
            <w:u w:val="none"/>
          </w:rPr>
          <w:t>Figure 10: Handwashing Alternative</w:t>
        </w:r>
        <w:r w:rsidR="00483302" w:rsidRPr="00483302">
          <w:rPr>
            <w:webHidden/>
          </w:rPr>
          <w:tab/>
        </w:r>
        <w:r w:rsidR="00483302" w:rsidRPr="00483302">
          <w:rPr>
            <w:webHidden/>
          </w:rPr>
          <w:fldChar w:fldCharType="begin"/>
        </w:r>
        <w:r w:rsidR="00483302" w:rsidRPr="00483302">
          <w:rPr>
            <w:webHidden/>
          </w:rPr>
          <w:instrText xml:space="preserve"> PAGEREF _Toc29286136 \h </w:instrText>
        </w:r>
        <w:r w:rsidR="00483302" w:rsidRPr="00483302">
          <w:rPr>
            <w:webHidden/>
          </w:rPr>
        </w:r>
        <w:r w:rsidR="00483302" w:rsidRPr="00483302">
          <w:rPr>
            <w:webHidden/>
          </w:rPr>
          <w:fldChar w:fldCharType="separate"/>
        </w:r>
        <w:r w:rsidR="00483302" w:rsidRPr="00483302">
          <w:rPr>
            <w:webHidden/>
          </w:rPr>
          <w:t>15</w:t>
        </w:r>
        <w:r w:rsidR="00483302" w:rsidRPr="00483302">
          <w:rPr>
            <w:webHidden/>
          </w:rPr>
          <w:fldChar w:fldCharType="end"/>
        </w:r>
      </w:hyperlink>
    </w:p>
    <w:p w14:paraId="4E9DFF50" w14:textId="77777777" w:rsidR="00483302" w:rsidRPr="00483302" w:rsidRDefault="00AF4C41" w:rsidP="00483302">
      <w:pPr>
        <w:pStyle w:val="TOC2"/>
        <w:rPr>
          <w:szCs w:val="22"/>
          <w:lang w:val="en-GB" w:eastAsia="en-GB"/>
        </w:rPr>
      </w:pPr>
      <w:hyperlink w:anchor="_Toc29286138" w:history="1">
        <w:r w:rsidR="00483302" w:rsidRPr="00483302">
          <w:rPr>
            <w:rStyle w:val="Hyperlink"/>
            <w:rFonts w:cs="Calibri"/>
            <w:color w:val="auto"/>
            <w:u w:val="none"/>
          </w:rPr>
          <w:t>Figure 11: Type of Handwashing Facility</w:t>
        </w:r>
        <w:r w:rsidR="00483302" w:rsidRPr="00483302">
          <w:rPr>
            <w:webHidden/>
          </w:rPr>
          <w:tab/>
        </w:r>
        <w:r w:rsidR="00483302" w:rsidRPr="00483302">
          <w:rPr>
            <w:webHidden/>
          </w:rPr>
          <w:fldChar w:fldCharType="begin"/>
        </w:r>
        <w:r w:rsidR="00483302" w:rsidRPr="00483302">
          <w:rPr>
            <w:webHidden/>
          </w:rPr>
          <w:instrText xml:space="preserve"> PAGEREF _Toc29286138 \h </w:instrText>
        </w:r>
        <w:r w:rsidR="00483302" w:rsidRPr="00483302">
          <w:rPr>
            <w:webHidden/>
          </w:rPr>
        </w:r>
        <w:r w:rsidR="00483302" w:rsidRPr="00483302">
          <w:rPr>
            <w:webHidden/>
          </w:rPr>
          <w:fldChar w:fldCharType="separate"/>
        </w:r>
        <w:r w:rsidR="00483302" w:rsidRPr="00483302">
          <w:rPr>
            <w:webHidden/>
          </w:rPr>
          <w:t>16</w:t>
        </w:r>
        <w:r w:rsidR="00483302" w:rsidRPr="00483302">
          <w:rPr>
            <w:webHidden/>
          </w:rPr>
          <w:fldChar w:fldCharType="end"/>
        </w:r>
      </w:hyperlink>
    </w:p>
    <w:p w14:paraId="4E9DFF51" w14:textId="77777777" w:rsidR="00483302" w:rsidRPr="00483302" w:rsidRDefault="00AF4C41" w:rsidP="00483302">
      <w:pPr>
        <w:pStyle w:val="TOC2"/>
        <w:rPr>
          <w:szCs w:val="22"/>
          <w:lang w:val="en-GB" w:eastAsia="en-GB"/>
        </w:rPr>
      </w:pPr>
      <w:hyperlink w:anchor="_Toc29286140" w:history="1">
        <w:r w:rsidR="00483302" w:rsidRPr="00483302">
          <w:rPr>
            <w:rStyle w:val="Hyperlink"/>
            <w:rFonts w:cs="Calibri"/>
            <w:color w:val="auto"/>
            <w:u w:val="none"/>
          </w:rPr>
          <w:t>Figure 12: Food Handling Practices</w:t>
        </w:r>
        <w:r w:rsidR="00483302" w:rsidRPr="00483302">
          <w:rPr>
            <w:webHidden/>
          </w:rPr>
          <w:tab/>
        </w:r>
        <w:r w:rsidR="00483302" w:rsidRPr="00483302">
          <w:rPr>
            <w:webHidden/>
          </w:rPr>
          <w:fldChar w:fldCharType="begin"/>
        </w:r>
        <w:r w:rsidR="00483302" w:rsidRPr="00483302">
          <w:rPr>
            <w:webHidden/>
          </w:rPr>
          <w:instrText xml:space="preserve"> PAGEREF _Toc29286140 \h </w:instrText>
        </w:r>
        <w:r w:rsidR="00483302" w:rsidRPr="00483302">
          <w:rPr>
            <w:webHidden/>
          </w:rPr>
        </w:r>
        <w:r w:rsidR="00483302" w:rsidRPr="00483302">
          <w:rPr>
            <w:webHidden/>
          </w:rPr>
          <w:fldChar w:fldCharType="separate"/>
        </w:r>
        <w:r w:rsidR="00483302" w:rsidRPr="00483302">
          <w:rPr>
            <w:webHidden/>
          </w:rPr>
          <w:t>16</w:t>
        </w:r>
        <w:r w:rsidR="00483302" w:rsidRPr="00483302">
          <w:rPr>
            <w:webHidden/>
          </w:rPr>
          <w:fldChar w:fldCharType="end"/>
        </w:r>
      </w:hyperlink>
    </w:p>
    <w:p w14:paraId="4E9DFF52" w14:textId="77777777" w:rsidR="00483302" w:rsidRPr="00483302" w:rsidRDefault="00AF4C41" w:rsidP="00483302">
      <w:pPr>
        <w:pStyle w:val="TOC2"/>
        <w:rPr>
          <w:szCs w:val="22"/>
          <w:lang w:val="en-GB" w:eastAsia="en-GB"/>
        </w:rPr>
      </w:pPr>
      <w:hyperlink w:anchor="_Toc29286142" w:history="1">
        <w:r w:rsidR="00483302" w:rsidRPr="00483302">
          <w:rPr>
            <w:rStyle w:val="Hyperlink"/>
            <w:rFonts w:cs="Calibri"/>
            <w:color w:val="auto"/>
            <w:u w:val="none"/>
          </w:rPr>
          <w:t>Figure 13: Domestic Solid Waste Disposal</w:t>
        </w:r>
        <w:r w:rsidR="00483302" w:rsidRPr="00483302">
          <w:rPr>
            <w:webHidden/>
          </w:rPr>
          <w:tab/>
        </w:r>
        <w:r w:rsidR="00483302" w:rsidRPr="00483302">
          <w:rPr>
            <w:webHidden/>
          </w:rPr>
          <w:fldChar w:fldCharType="begin"/>
        </w:r>
        <w:r w:rsidR="00483302" w:rsidRPr="00483302">
          <w:rPr>
            <w:webHidden/>
          </w:rPr>
          <w:instrText xml:space="preserve"> PAGEREF _Toc29286142 \h </w:instrText>
        </w:r>
        <w:r w:rsidR="00483302" w:rsidRPr="00483302">
          <w:rPr>
            <w:webHidden/>
          </w:rPr>
        </w:r>
        <w:r w:rsidR="00483302" w:rsidRPr="00483302">
          <w:rPr>
            <w:webHidden/>
          </w:rPr>
          <w:fldChar w:fldCharType="separate"/>
        </w:r>
        <w:r w:rsidR="00483302" w:rsidRPr="00483302">
          <w:rPr>
            <w:webHidden/>
          </w:rPr>
          <w:t>17</w:t>
        </w:r>
        <w:r w:rsidR="00483302" w:rsidRPr="00483302">
          <w:rPr>
            <w:webHidden/>
          </w:rPr>
          <w:fldChar w:fldCharType="end"/>
        </w:r>
      </w:hyperlink>
    </w:p>
    <w:p w14:paraId="4E9DFF53" w14:textId="77777777" w:rsidR="00483302" w:rsidRPr="00483302" w:rsidRDefault="00AF4C41" w:rsidP="00483302">
      <w:pPr>
        <w:pStyle w:val="TOC2"/>
        <w:rPr>
          <w:szCs w:val="22"/>
          <w:lang w:val="en-GB" w:eastAsia="en-GB"/>
        </w:rPr>
      </w:pPr>
      <w:hyperlink w:anchor="_Toc29286146" w:history="1">
        <w:r w:rsidR="00483302" w:rsidRPr="00483302">
          <w:rPr>
            <w:rStyle w:val="Hyperlink"/>
            <w:rFonts w:cs="Calibri"/>
            <w:color w:val="auto"/>
            <w:u w:val="none"/>
          </w:rPr>
          <w:t>Figure 14: Materials Used for Menstrual Management in the Last Monthly Period</w:t>
        </w:r>
        <w:r w:rsidR="00483302" w:rsidRPr="00483302">
          <w:rPr>
            <w:webHidden/>
          </w:rPr>
          <w:tab/>
        </w:r>
        <w:r w:rsidR="00483302" w:rsidRPr="00483302">
          <w:rPr>
            <w:webHidden/>
          </w:rPr>
          <w:fldChar w:fldCharType="begin"/>
        </w:r>
        <w:r w:rsidR="00483302" w:rsidRPr="00483302">
          <w:rPr>
            <w:webHidden/>
          </w:rPr>
          <w:instrText xml:space="preserve"> PAGEREF _Toc29286146 \h </w:instrText>
        </w:r>
        <w:r w:rsidR="00483302" w:rsidRPr="00483302">
          <w:rPr>
            <w:webHidden/>
          </w:rPr>
        </w:r>
        <w:r w:rsidR="00483302" w:rsidRPr="00483302">
          <w:rPr>
            <w:webHidden/>
          </w:rPr>
          <w:fldChar w:fldCharType="separate"/>
        </w:r>
        <w:r w:rsidR="00483302" w:rsidRPr="00483302">
          <w:rPr>
            <w:webHidden/>
          </w:rPr>
          <w:t>18</w:t>
        </w:r>
        <w:r w:rsidR="00483302" w:rsidRPr="00483302">
          <w:rPr>
            <w:webHidden/>
          </w:rPr>
          <w:fldChar w:fldCharType="end"/>
        </w:r>
      </w:hyperlink>
    </w:p>
    <w:p w14:paraId="4E9DFF54" w14:textId="77777777" w:rsidR="00483302" w:rsidRPr="00483302" w:rsidRDefault="00AF4C41" w:rsidP="00483302">
      <w:pPr>
        <w:pStyle w:val="TOC2"/>
        <w:rPr>
          <w:szCs w:val="22"/>
          <w:lang w:val="en-GB" w:eastAsia="en-GB"/>
        </w:rPr>
      </w:pPr>
      <w:hyperlink w:anchor="_Toc29286148" w:history="1">
        <w:r w:rsidR="00483302" w:rsidRPr="00483302">
          <w:rPr>
            <w:rStyle w:val="Hyperlink"/>
            <w:rFonts w:cs="Calibri"/>
            <w:color w:val="auto"/>
            <w:u w:val="none"/>
          </w:rPr>
          <w:t>Table 7: Findings on Safe Programming</w:t>
        </w:r>
        <w:r w:rsidR="00483302" w:rsidRPr="00483302">
          <w:rPr>
            <w:webHidden/>
          </w:rPr>
          <w:tab/>
        </w:r>
        <w:r w:rsidR="00483302" w:rsidRPr="00483302">
          <w:rPr>
            <w:webHidden/>
          </w:rPr>
          <w:fldChar w:fldCharType="begin"/>
        </w:r>
        <w:r w:rsidR="00483302" w:rsidRPr="00483302">
          <w:rPr>
            <w:webHidden/>
          </w:rPr>
          <w:instrText xml:space="preserve"> PAGEREF _Toc29286148 \h </w:instrText>
        </w:r>
        <w:r w:rsidR="00483302" w:rsidRPr="00483302">
          <w:rPr>
            <w:webHidden/>
          </w:rPr>
        </w:r>
        <w:r w:rsidR="00483302" w:rsidRPr="00483302">
          <w:rPr>
            <w:webHidden/>
          </w:rPr>
          <w:fldChar w:fldCharType="separate"/>
        </w:r>
        <w:r w:rsidR="00483302" w:rsidRPr="00483302">
          <w:rPr>
            <w:webHidden/>
          </w:rPr>
          <w:t>19</w:t>
        </w:r>
        <w:r w:rsidR="00483302" w:rsidRPr="00483302">
          <w:rPr>
            <w:webHidden/>
          </w:rPr>
          <w:fldChar w:fldCharType="end"/>
        </w:r>
      </w:hyperlink>
    </w:p>
    <w:p w14:paraId="4E9DFF55" w14:textId="77777777" w:rsidR="00483302" w:rsidRPr="00483302" w:rsidRDefault="00AF4C41" w:rsidP="00483302">
      <w:pPr>
        <w:pStyle w:val="TOC2"/>
        <w:rPr>
          <w:szCs w:val="22"/>
          <w:lang w:val="en-GB" w:eastAsia="en-GB"/>
        </w:rPr>
      </w:pPr>
      <w:hyperlink w:anchor="_Toc29286149" w:history="1">
        <w:r w:rsidR="00483302" w:rsidRPr="00483302">
          <w:rPr>
            <w:rStyle w:val="Hyperlink"/>
            <w:color w:val="auto"/>
            <w:u w:val="none"/>
          </w:rPr>
          <w:t>Table 8: Safe Project Implementation</w:t>
        </w:r>
        <w:r w:rsidR="00483302" w:rsidRPr="00483302">
          <w:rPr>
            <w:webHidden/>
          </w:rPr>
          <w:tab/>
        </w:r>
        <w:r w:rsidR="00483302" w:rsidRPr="00483302">
          <w:rPr>
            <w:webHidden/>
          </w:rPr>
          <w:fldChar w:fldCharType="begin"/>
        </w:r>
        <w:r w:rsidR="00483302" w:rsidRPr="00483302">
          <w:rPr>
            <w:webHidden/>
          </w:rPr>
          <w:instrText xml:space="preserve"> PAGEREF _Toc29286149 \h </w:instrText>
        </w:r>
        <w:r w:rsidR="00483302" w:rsidRPr="00483302">
          <w:rPr>
            <w:webHidden/>
          </w:rPr>
        </w:r>
        <w:r w:rsidR="00483302" w:rsidRPr="00483302">
          <w:rPr>
            <w:webHidden/>
          </w:rPr>
          <w:fldChar w:fldCharType="separate"/>
        </w:r>
        <w:r w:rsidR="00483302" w:rsidRPr="00483302">
          <w:rPr>
            <w:webHidden/>
          </w:rPr>
          <w:t>20</w:t>
        </w:r>
        <w:r w:rsidR="00483302" w:rsidRPr="00483302">
          <w:rPr>
            <w:webHidden/>
          </w:rPr>
          <w:fldChar w:fldCharType="end"/>
        </w:r>
      </w:hyperlink>
    </w:p>
    <w:p w14:paraId="4E9DFF56" w14:textId="77777777" w:rsidR="006D68D4" w:rsidRPr="00A477DE" w:rsidRDefault="006B1BDF" w:rsidP="006B1BDF">
      <w:pPr>
        <w:pStyle w:val="Heading1"/>
      </w:pPr>
      <w:r w:rsidRPr="00483302">
        <w:rPr>
          <w:color w:val="auto"/>
        </w:rPr>
        <w:br w:type="page"/>
      </w:r>
      <w:bookmarkStart w:id="4" w:name="_Toc29286274"/>
      <w:r w:rsidR="006D68D4" w:rsidRPr="00A477DE">
        <w:lastRenderedPageBreak/>
        <w:t>OPERATIONAL DEFINITION OF TERMS</w:t>
      </w:r>
      <w:bookmarkEnd w:id="4"/>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6377"/>
      </w:tblGrid>
      <w:tr w:rsidR="006D68D4" w:rsidRPr="009E0050" w14:paraId="4E9DFF59" w14:textId="77777777" w:rsidTr="00FF7866">
        <w:trPr>
          <w:trHeight w:val="268"/>
        </w:trPr>
        <w:tc>
          <w:tcPr>
            <w:tcW w:w="2689" w:type="dxa"/>
          </w:tcPr>
          <w:p w14:paraId="4E9DFF57"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Attitude </w:t>
            </w:r>
          </w:p>
        </w:tc>
        <w:tc>
          <w:tcPr>
            <w:tcW w:w="6377" w:type="dxa"/>
          </w:tcPr>
          <w:p w14:paraId="4E9DFF58"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A hypothetical construct that represents an individual’s degree of like or dislike for something either positive or negative. </w:t>
            </w:r>
          </w:p>
        </w:tc>
      </w:tr>
      <w:tr w:rsidR="006D68D4" w:rsidRPr="009E0050" w14:paraId="4E9DFF5C" w14:textId="77777777" w:rsidTr="00FF7866">
        <w:trPr>
          <w:trHeight w:val="267"/>
        </w:trPr>
        <w:tc>
          <w:tcPr>
            <w:tcW w:w="2689" w:type="dxa"/>
          </w:tcPr>
          <w:p w14:paraId="4E9DFF5A"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Awareness </w:t>
            </w:r>
          </w:p>
        </w:tc>
        <w:tc>
          <w:tcPr>
            <w:tcW w:w="6377" w:type="dxa"/>
          </w:tcPr>
          <w:p w14:paraId="4E9DFF5B"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The state or ability to perceive, to feel, or to be conscious of events, objects, thoughts, emotions, or sensory patterns. In this level of consciousness. </w:t>
            </w:r>
          </w:p>
        </w:tc>
      </w:tr>
      <w:tr w:rsidR="006D68D4" w:rsidRPr="009E0050" w14:paraId="4E9DFF60" w14:textId="77777777" w:rsidTr="00FF7866">
        <w:trPr>
          <w:trHeight w:val="585"/>
        </w:trPr>
        <w:tc>
          <w:tcPr>
            <w:tcW w:w="2689" w:type="dxa"/>
          </w:tcPr>
          <w:p w14:paraId="4E9DFF5D"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Community Led </w:t>
            </w:r>
          </w:p>
          <w:p w14:paraId="4E9DFF5E"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Total Sanitation </w:t>
            </w:r>
          </w:p>
        </w:tc>
        <w:tc>
          <w:tcPr>
            <w:tcW w:w="6377" w:type="dxa"/>
          </w:tcPr>
          <w:p w14:paraId="4E9DFF5F" w14:textId="77777777" w:rsidR="006D68D4" w:rsidRPr="009E0050" w:rsidRDefault="006B1BDF" w:rsidP="00FF7866">
            <w:pPr>
              <w:autoSpaceDE w:val="0"/>
              <w:autoSpaceDN w:val="0"/>
              <w:adjustRightInd w:val="0"/>
              <w:spacing w:after="0"/>
              <w:rPr>
                <w:rFonts w:cs="Calibri"/>
                <w:color w:val="000000"/>
              </w:rPr>
            </w:pPr>
            <w:r w:rsidRPr="009E0050">
              <w:rPr>
                <w:rFonts w:cs="Calibri"/>
                <w:color w:val="000000"/>
              </w:rPr>
              <w:t>A s</w:t>
            </w:r>
            <w:r w:rsidR="006D68D4" w:rsidRPr="009E0050">
              <w:rPr>
                <w:rFonts w:cs="Calibri"/>
                <w:color w:val="000000"/>
              </w:rPr>
              <w:t xml:space="preserve">anitation approach which enables local communities to </w:t>
            </w:r>
            <w:r w:rsidRPr="009E0050">
              <w:rPr>
                <w:rFonts w:cs="Calibri"/>
                <w:color w:val="000000"/>
              </w:rPr>
              <w:t>analyze</w:t>
            </w:r>
            <w:r w:rsidR="006D68D4" w:rsidRPr="009E0050">
              <w:rPr>
                <w:rFonts w:cs="Calibri"/>
                <w:color w:val="000000"/>
              </w:rPr>
              <w:t xml:space="preserve"> their sanitation conditions and collectively internalize the terrible impact of OD on public health and on the entire </w:t>
            </w:r>
            <w:r w:rsidRPr="009E0050">
              <w:rPr>
                <w:rFonts w:cs="Calibri"/>
                <w:color w:val="000000"/>
              </w:rPr>
              <w:t>neighborhood</w:t>
            </w:r>
            <w:r w:rsidR="006D68D4" w:rsidRPr="009E0050">
              <w:rPr>
                <w:rFonts w:cs="Calibri"/>
                <w:color w:val="000000"/>
              </w:rPr>
              <w:t xml:space="preserve"> </w:t>
            </w:r>
            <w:r w:rsidRPr="009E0050">
              <w:rPr>
                <w:rFonts w:cs="Calibri"/>
                <w:color w:val="000000"/>
              </w:rPr>
              <w:t>environment.</w:t>
            </w:r>
            <w:r w:rsidR="006D68D4" w:rsidRPr="009E0050">
              <w:rPr>
                <w:rFonts w:cs="Calibri"/>
                <w:color w:val="000000"/>
              </w:rPr>
              <w:t xml:space="preserve"> </w:t>
            </w:r>
          </w:p>
        </w:tc>
      </w:tr>
      <w:tr w:rsidR="006D68D4" w:rsidRPr="009E0050" w14:paraId="4E9DFF63" w14:textId="77777777" w:rsidTr="00FF7866">
        <w:trPr>
          <w:trHeight w:val="267"/>
        </w:trPr>
        <w:tc>
          <w:tcPr>
            <w:tcW w:w="2689" w:type="dxa"/>
          </w:tcPr>
          <w:p w14:paraId="4E9DFF61"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Defecation </w:t>
            </w:r>
          </w:p>
        </w:tc>
        <w:tc>
          <w:tcPr>
            <w:tcW w:w="6377" w:type="dxa"/>
          </w:tcPr>
          <w:p w14:paraId="4E9DFF62"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The final act of digestion by which organisms eliminate solid, semisolid or liquid waste material (</w:t>
            </w:r>
            <w:r w:rsidR="006B1BDF" w:rsidRPr="009E0050">
              <w:rPr>
                <w:rFonts w:cs="Calibri"/>
                <w:color w:val="000000"/>
              </w:rPr>
              <w:t>feaces</w:t>
            </w:r>
            <w:r w:rsidRPr="009E0050">
              <w:rPr>
                <w:rFonts w:cs="Calibri"/>
                <w:color w:val="000000"/>
              </w:rPr>
              <w:t xml:space="preserve">) from the digestive tract via the anus. </w:t>
            </w:r>
          </w:p>
        </w:tc>
      </w:tr>
      <w:tr w:rsidR="006D68D4" w:rsidRPr="009E0050" w14:paraId="4E9DFF66" w14:textId="77777777" w:rsidTr="00FF7866">
        <w:trPr>
          <w:trHeight w:val="267"/>
        </w:trPr>
        <w:tc>
          <w:tcPr>
            <w:tcW w:w="2689" w:type="dxa"/>
          </w:tcPr>
          <w:p w14:paraId="4E9DFF64"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Diarrhoea </w:t>
            </w:r>
          </w:p>
        </w:tc>
        <w:tc>
          <w:tcPr>
            <w:tcW w:w="6377" w:type="dxa"/>
          </w:tcPr>
          <w:p w14:paraId="4E9DFF65"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Diarrhoea is the term given when an individual passes watery stools at least three times in a 24-hour period or more frequently than usual for the individual. </w:t>
            </w:r>
          </w:p>
        </w:tc>
      </w:tr>
      <w:tr w:rsidR="006D68D4" w:rsidRPr="009E0050" w14:paraId="4E9DFF69" w14:textId="77777777" w:rsidTr="00FF7866">
        <w:trPr>
          <w:trHeight w:val="267"/>
        </w:trPr>
        <w:tc>
          <w:tcPr>
            <w:tcW w:w="2689" w:type="dxa"/>
          </w:tcPr>
          <w:p w14:paraId="4E9DFF67"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Households </w:t>
            </w:r>
          </w:p>
        </w:tc>
        <w:tc>
          <w:tcPr>
            <w:tcW w:w="6377" w:type="dxa"/>
          </w:tcPr>
          <w:p w14:paraId="4E9DFF68"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This a family unit made up of the farther, mother, or father or mother, and children living under one roof. </w:t>
            </w:r>
          </w:p>
        </w:tc>
      </w:tr>
      <w:tr w:rsidR="006D68D4" w:rsidRPr="009E0050" w14:paraId="4E9DFF6C" w14:textId="77777777" w:rsidTr="00FF7866">
        <w:trPr>
          <w:trHeight w:val="268"/>
        </w:trPr>
        <w:tc>
          <w:tcPr>
            <w:tcW w:w="2689" w:type="dxa"/>
          </w:tcPr>
          <w:p w14:paraId="4E9DFF6A"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Household Head </w:t>
            </w:r>
          </w:p>
        </w:tc>
        <w:tc>
          <w:tcPr>
            <w:tcW w:w="6377" w:type="dxa"/>
          </w:tcPr>
          <w:p w14:paraId="4E9DFF6B"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An individual in one family setting who provides actual support and maintenance to one or more individuals who are related to him or her. </w:t>
            </w:r>
          </w:p>
        </w:tc>
      </w:tr>
      <w:tr w:rsidR="006D68D4" w:rsidRPr="009E0050" w14:paraId="4E9DFF6F" w14:textId="77777777" w:rsidTr="00FF7866">
        <w:trPr>
          <w:trHeight w:val="268"/>
        </w:trPr>
        <w:tc>
          <w:tcPr>
            <w:tcW w:w="2689" w:type="dxa"/>
          </w:tcPr>
          <w:p w14:paraId="4E9DFF6D"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Hygiene </w:t>
            </w:r>
          </w:p>
        </w:tc>
        <w:tc>
          <w:tcPr>
            <w:tcW w:w="6377" w:type="dxa"/>
          </w:tcPr>
          <w:p w14:paraId="4E9DFF6E"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A science of the establishment and maintenance of health and Conditions or practices (as of cleanliness) conducive to health </w:t>
            </w:r>
          </w:p>
        </w:tc>
      </w:tr>
      <w:tr w:rsidR="006D68D4" w:rsidRPr="009E0050" w14:paraId="4E9DFF72" w14:textId="77777777" w:rsidTr="00FF7866">
        <w:trPr>
          <w:trHeight w:val="267"/>
        </w:trPr>
        <w:tc>
          <w:tcPr>
            <w:tcW w:w="2689" w:type="dxa"/>
          </w:tcPr>
          <w:p w14:paraId="4E9DFF70"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Knowledge </w:t>
            </w:r>
          </w:p>
        </w:tc>
        <w:tc>
          <w:tcPr>
            <w:tcW w:w="6377" w:type="dxa"/>
          </w:tcPr>
          <w:p w14:paraId="4E9DFF71"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Information received and internalized by pupils regarding hygiene, Water and Sanitation. </w:t>
            </w:r>
          </w:p>
        </w:tc>
      </w:tr>
      <w:tr w:rsidR="006D68D4" w:rsidRPr="009E0050" w14:paraId="4E9DFF75" w14:textId="77777777" w:rsidTr="00FF7866">
        <w:trPr>
          <w:trHeight w:val="267"/>
        </w:trPr>
        <w:tc>
          <w:tcPr>
            <w:tcW w:w="2689" w:type="dxa"/>
          </w:tcPr>
          <w:p w14:paraId="4E9DFF73"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Latrine coverage </w:t>
            </w:r>
          </w:p>
        </w:tc>
        <w:tc>
          <w:tcPr>
            <w:tcW w:w="6377" w:type="dxa"/>
          </w:tcPr>
          <w:p w14:paraId="4E9DFF74"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This is the total number of latrines in the study area (schools) that are available and expressed as a percentage. </w:t>
            </w:r>
          </w:p>
        </w:tc>
      </w:tr>
      <w:tr w:rsidR="006D68D4" w:rsidRPr="009E0050" w14:paraId="4E9DFF78" w14:textId="77777777" w:rsidTr="00FF7866">
        <w:trPr>
          <w:trHeight w:val="267"/>
        </w:trPr>
        <w:tc>
          <w:tcPr>
            <w:tcW w:w="2689" w:type="dxa"/>
          </w:tcPr>
          <w:p w14:paraId="4E9DFF76"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Latrine/ toilet </w:t>
            </w:r>
          </w:p>
        </w:tc>
        <w:tc>
          <w:tcPr>
            <w:tcW w:w="6377" w:type="dxa"/>
          </w:tcPr>
          <w:p w14:paraId="4E9DFF77"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This a communal space with multiple toilets, or a single stand-alone apparatus that is used to defecate designed for defecation and urination. </w:t>
            </w:r>
          </w:p>
        </w:tc>
      </w:tr>
      <w:tr w:rsidR="006D68D4" w:rsidRPr="009E0050" w14:paraId="4E9DFF7B" w14:textId="77777777" w:rsidTr="00FF7866">
        <w:trPr>
          <w:trHeight w:val="109"/>
        </w:trPr>
        <w:tc>
          <w:tcPr>
            <w:tcW w:w="2689" w:type="dxa"/>
          </w:tcPr>
          <w:p w14:paraId="4E9DFF79"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Practices </w:t>
            </w:r>
          </w:p>
        </w:tc>
        <w:tc>
          <w:tcPr>
            <w:tcW w:w="6377" w:type="dxa"/>
          </w:tcPr>
          <w:p w14:paraId="4E9DFF7A"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The action or process of performing or doing something. </w:t>
            </w:r>
          </w:p>
        </w:tc>
      </w:tr>
      <w:tr w:rsidR="006D68D4" w:rsidRPr="009E0050" w14:paraId="4E9DFF7E" w14:textId="77777777" w:rsidTr="00FF7866">
        <w:trPr>
          <w:trHeight w:val="267"/>
        </w:trPr>
        <w:tc>
          <w:tcPr>
            <w:tcW w:w="2689" w:type="dxa"/>
          </w:tcPr>
          <w:p w14:paraId="4E9DFF7C"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Prevalence </w:t>
            </w:r>
          </w:p>
        </w:tc>
        <w:tc>
          <w:tcPr>
            <w:tcW w:w="6377" w:type="dxa"/>
          </w:tcPr>
          <w:p w14:paraId="4E9DFF7D"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The total number of diarrhoea episodes experienced divided by the total population. </w:t>
            </w:r>
          </w:p>
        </w:tc>
      </w:tr>
      <w:tr w:rsidR="006D68D4" w:rsidRPr="009E0050" w14:paraId="4E9DFF81" w14:textId="77777777" w:rsidTr="00FF7866">
        <w:trPr>
          <w:trHeight w:val="268"/>
        </w:trPr>
        <w:tc>
          <w:tcPr>
            <w:tcW w:w="2689" w:type="dxa"/>
          </w:tcPr>
          <w:p w14:paraId="4E9DFF7F"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Sanitation </w:t>
            </w:r>
          </w:p>
        </w:tc>
        <w:tc>
          <w:tcPr>
            <w:tcW w:w="6377" w:type="dxa"/>
          </w:tcPr>
          <w:p w14:paraId="4E9DFF80"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Measures necessary for improving and protecting health and well-being of the people. </w:t>
            </w:r>
          </w:p>
        </w:tc>
      </w:tr>
      <w:tr w:rsidR="006D68D4" w:rsidRPr="009E0050" w14:paraId="4E9DFF84" w14:textId="77777777" w:rsidTr="00FF7866">
        <w:trPr>
          <w:trHeight w:val="267"/>
        </w:trPr>
        <w:tc>
          <w:tcPr>
            <w:tcW w:w="2689" w:type="dxa"/>
          </w:tcPr>
          <w:p w14:paraId="4E9DFF82"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t xml:space="preserve">Total Sanitation </w:t>
            </w:r>
          </w:p>
        </w:tc>
        <w:tc>
          <w:tcPr>
            <w:tcW w:w="6377" w:type="dxa"/>
          </w:tcPr>
          <w:p w14:paraId="4E9DFF83"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It concentrates on the whole community rather than on individual. </w:t>
            </w:r>
          </w:p>
        </w:tc>
      </w:tr>
      <w:tr w:rsidR="006D68D4" w:rsidRPr="009E0050" w14:paraId="4E9DFF87" w14:textId="77777777" w:rsidTr="00FF7866">
        <w:trPr>
          <w:trHeight w:val="267"/>
        </w:trPr>
        <w:tc>
          <w:tcPr>
            <w:tcW w:w="2689" w:type="dxa"/>
          </w:tcPr>
          <w:p w14:paraId="4E9DFF85" w14:textId="77777777" w:rsidR="006D68D4" w:rsidRPr="009E0050" w:rsidRDefault="006D68D4" w:rsidP="00FF7866">
            <w:pPr>
              <w:autoSpaceDE w:val="0"/>
              <w:autoSpaceDN w:val="0"/>
              <w:adjustRightInd w:val="0"/>
              <w:spacing w:after="0"/>
              <w:jc w:val="left"/>
              <w:rPr>
                <w:rFonts w:cs="Calibri"/>
                <w:b/>
                <w:color w:val="000000"/>
              </w:rPr>
            </w:pPr>
            <w:r w:rsidRPr="009E0050">
              <w:rPr>
                <w:rFonts w:cs="Calibri"/>
                <w:b/>
                <w:color w:val="000000"/>
              </w:rPr>
              <w:lastRenderedPageBreak/>
              <w:t xml:space="preserve">Waste </w:t>
            </w:r>
          </w:p>
        </w:tc>
        <w:tc>
          <w:tcPr>
            <w:tcW w:w="6377" w:type="dxa"/>
          </w:tcPr>
          <w:p w14:paraId="4E9DFF86" w14:textId="77777777" w:rsidR="006D68D4" w:rsidRPr="009E0050" w:rsidRDefault="006D68D4" w:rsidP="00FF7866">
            <w:pPr>
              <w:autoSpaceDE w:val="0"/>
              <w:autoSpaceDN w:val="0"/>
              <w:adjustRightInd w:val="0"/>
              <w:spacing w:after="0"/>
              <w:rPr>
                <w:rFonts w:cs="Calibri"/>
                <w:color w:val="000000"/>
              </w:rPr>
            </w:pPr>
            <w:r w:rsidRPr="009E0050">
              <w:rPr>
                <w:rFonts w:cs="Calibri"/>
                <w:color w:val="000000"/>
              </w:rPr>
              <w:t xml:space="preserve">Discarded residue to be disposed of and for which reason, it is considered to be of no value. </w:t>
            </w:r>
          </w:p>
        </w:tc>
      </w:tr>
    </w:tbl>
    <w:p w14:paraId="4E9DFF88" w14:textId="77777777" w:rsidR="006D68D4" w:rsidRPr="009E0050" w:rsidRDefault="006D68D4" w:rsidP="006D68D4">
      <w:pPr>
        <w:rPr>
          <w:rFonts w:cs="Calibri"/>
        </w:rPr>
      </w:pPr>
    </w:p>
    <w:p w14:paraId="4E9DFF89" w14:textId="77777777" w:rsidR="0017021E" w:rsidRPr="009E0050" w:rsidRDefault="0017021E" w:rsidP="006D68D4">
      <w:pPr>
        <w:jc w:val="left"/>
        <w:rPr>
          <w:rFonts w:cs="Calibri"/>
        </w:rPr>
        <w:sectPr w:rsidR="0017021E" w:rsidRPr="009E0050" w:rsidSect="0017021E">
          <w:headerReference w:type="default" r:id="rId12"/>
          <w:footerReference w:type="default" r:id="rId13"/>
          <w:footerReference w:type="first" r:id="rId14"/>
          <w:pgSz w:w="12240" w:h="15840"/>
          <w:pgMar w:top="1440" w:right="1440" w:bottom="1440" w:left="1440" w:header="720" w:footer="720" w:gutter="0"/>
          <w:pgNumType w:fmt="lowerRoman" w:start="1"/>
          <w:cols w:space="720"/>
          <w:docGrid w:linePitch="360"/>
        </w:sectPr>
      </w:pPr>
    </w:p>
    <w:p w14:paraId="4E9DFF8A" w14:textId="77777777" w:rsidR="006D68D4" w:rsidRPr="009E0050" w:rsidRDefault="006D68D4" w:rsidP="006D68D4">
      <w:pPr>
        <w:pStyle w:val="Heading1"/>
        <w:rPr>
          <w:rFonts w:cs="Calibri"/>
          <w:szCs w:val="22"/>
        </w:rPr>
      </w:pPr>
      <w:bookmarkStart w:id="5" w:name="_Toc29286275"/>
      <w:r w:rsidRPr="009E0050">
        <w:rPr>
          <w:rFonts w:cs="Calibri"/>
          <w:szCs w:val="22"/>
        </w:rPr>
        <w:lastRenderedPageBreak/>
        <w:t>INTRODUCTION TO THE CONTEXT</w:t>
      </w:r>
      <w:bookmarkEnd w:id="5"/>
    </w:p>
    <w:p w14:paraId="4E9DFF8B" w14:textId="77777777" w:rsidR="006D68D4" w:rsidRPr="009E0050" w:rsidRDefault="006D68D4" w:rsidP="006D68D4">
      <w:pPr>
        <w:autoSpaceDE w:val="0"/>
        <w:autoSpaceDN w:val="0"/>
        <w:adjustRightInd w:val="0"/>
        <w:spacing w:after="0"/>
        <w:rPr>
          <w:rFonts w:cs="Calibri"/>
          <w:color w:val="000000"/>
        </w:rPr>
      </w:pPr>
      <w:r w:rsidRPr="009E0050">
        <w:rPr>
          <w:rFonts w:cs="Calibri"/>
          <w:color w:val="000000"/>
        </w:rPr>
        <w:t>Kakuma refugee camp and Kalobeyei settlement site are situated in Turkana West Sub County of Turkana County. There were 192,352 Refugees and asylum seekers registered in Kakuma camp (</w:t>
      </w:r>
      <w:r w:rsidRPr="009E0050">
        <w:rPr>
          <w:rFonts w:cs="Calibri"/>
        </w:rPr>
        <w:t xml:space="preserve">153,593) </w:t>
      </w:r>
      <w:r w:rsidRPr="009E0050">
        <w:rPr>
          <w:rFonts w:cs="Calibri"/>
          <w:color w:val="000000"/>
        </w:rPr>
        <w:t>and Kalobeyei settlement (</w:t>
      </w:r>
      <w:r w:rsidRPr="009E0050">
        <w:rPr>
          <w:rFonts w:cs="Calibri"/>
        </w:rPr>
        <w:t xml:space="preserve">36,099) </w:t>
      </w:r>
      <w:r w:rsidRPr="009E0050">
        <w:rPr>
          <w:rFonts w:cs="Calibri"/>
          <w:color w:val="000000"/>
        </w:rPr>
        <w:t xml:space="preserve">as of August 2019. Out of these, 10,581 new arrivals refugees and asylum seekers registered in 2019 majority (7,869) of whom were refugees from South Sudan. These refugees have a right to access sufficient water for domestic use as enshrined in the Constitution of Kenya as a basic human right </w:t>
      </w:r>
      <w:r w:rsidRPr="009E0050">
        <w:rPr>
          <w:rStyle w:val="FootnoteReference"/>
          <w:rFonts w:cs="Calibri"/>
          <w:color w:val="000000"/>
        </w:rPr>
        <w:footnoteReference w:id="1"/>
      </w:r>
      <w:r w:rsidRPr="009E0050">
        <w:rPr>
          <w:rFonts w:cs="Calibri"/>
          <w:color w:val="000000"/>
        </w:rPr>
        <w:t>and in line with UNHCR protection mandate for refugees and asylum seekers.</w:t>
      </w:r>
      <w:r w:rsidRPr="009E0050">
        <w:rPr>
          <w:rStyle w:val="FootnoteReference"/>
          <w:rFonts w:cs="Calibri"/>
          <w:color w:val="000000"/>
        </w:rPr>
        <w:footnoteReference w:id="2"/>
      </w:r>
      <w:r w:rsidRPr="009E0050">
        <w:rPr>
          <w:rFonts w:cs="Calibri"/>
          <w:color w:val="000000"/>
        </w:rPr>
        <w:t xml:space="preserve"> The rainfall in Turkana is bimodal though it is erratic and sparsely distributed. Notwithstanding, the Tarach-Kakuma sub-watershed has a potential to generate surface run-off of 714 million m</w:t>
      </w:r>
      <w:r w:rsidRPr="009E0050">
        <w:rPr>
          <w:rFonts w:cs="Calibri"/>
          <w:color w:val="000000"/>
          <w:vertAlign w:val="superscript"/>
        </w:rPr>
        <w:t>3</w:t>
      </w:r>
      <w:r w:rsidRPr="009E0050">
        <w:rPr>
          <w:rFonts w:cs="Calibri"/>
          <w:color w:val="000000"/>
        </w:rPr>
        <w:t xml:space="preserve">. </w:t>
      </w:r>
      <w:r w:rsidRPr="009E0050">
        <w:rPr>
          <w:rStyle w:val="FootnoteReference"/>
          <w:rFonts w:cs="Calibri"/>
          <w:color w:val="000000"/>
        </w:rPr>
        <w:footnoteReference w:id="3"/>
      </w:r>
      <w:r w:rsidRPr="009E0050">
        <w:rPr>
          <w:rFonts w:cs="Calibri"/>
          <w:color w:val="000000"/>
        </w:rPr>
        <w:t xml:space="preserve">Part of this water goes towards the recharging of ground water aquifers along Tarach River where 19 BHs have been sunk to supply water to both Kakuma refugee camps and Kalobeyei settlement. Additional efforts to harness the water more effectively are ongoing through partner investments in smaller dams, water pans, sand dams, shallow wells and irrigation through spate irrigation systems with the overall goal to increase water supply for both domestic and economic use. </w:t>
      </w:r>
    </w:p>
    <w:p w14:paraId="4E9DFF8C" w14:textId="77777777" w:rsidR="006D68D4" w:rsidRPr="009E0050" w:rsidRDefault="006D68D4" w:rsidP="006D68D4">
      <w:pPr>
        <w:autoSpaceDE w:val="0"/>
        <w:autoSpaceDN w:val="0"/>
        <w:adjustRightInd w:val="0"/>
        <w:spacing w:before="240" w:after="0"/>
        <w:rPr>
          <w:rFonts w:cs="Calibri"/>
          <w:color w:val="000000"/>
        </w:rPr>
      </w:pPr>
      <w:r w:rsidRPr="009E0050">
        <w:rPr>
          <w:rFonts w:cs="Calibri"/>
          <w:color w:val="000000"/>
        </w:rPr>
        <w:t>The HH latrine coverage in Kakuma Camps is 32 percent and in Kalobeyei Settlement 21 percent which is further complemented by a high fill up rate of communal latrines</w:t>
      </w:r>
      <w:r w:rsidRPr="009E0050">
        <w:rPr>
          <w:rStyle w:val="FootnoteReference"/>
          <w:rFonts w:cs="Calibri"/>
          <w:color w:val="000000"/>
        </w:rPr>
        <w:footnoteReference w:id="4"/>
      </w:r>
      <w:r w:rsidRPr="009E0050">
        <w:rPr>
          <w:rFonts w:cs="Calibri"/>
          <w:color w:val="000000"/>
        </w:rPr>
        <w:t xml:space="preserve">. In contrast, 86 percent of households in the host community do not access latrines which poses a health risk. Recent reported cholera outbreaks due to inadequate WASH facilities confirm the need to further improve sanitation in households and public places. Lack of sanitation facilities is evident within public institutions such as schools. Strides have been made in addressing low latrine availability and </w:t>
      </w:r>
      <w:r w:rsidR="006B1BDF" w:rsidRPr="009E0050">
        <w:rPr>
          <w:rFonts w:cs="Calibri"/>
          <w:color w:val="000000"/>
        </w:rPr>
        <w:t>utilization</w:t>
      </w:r>
      <w:r w:rsidRPr="009E0050">
        <w:rPr>
          <w:rFonts w:cs="Calibri"/>
          <w:color w:val="000000"/>
        </w:rPr>
        <w:t xml:space="preserve"> in Turkana West. The Ministry of Health’s Community Led Total Sanitation –CLTS strategy focuses on </w:t>
      </w:r>
      <w:r w:rsidR="006B1BDF" w:rsidRPr="009E0050">
        <w:rPr>
          <w:rFonts w:cs="Calibri"/>
          <w:color w:val="000000"/>
        </w:rPr>
        <w:t>behavioral</w:t>
      </w:r>
      <w:r w:rsidRPr="009E0050">
        <w:rPr>
          <w:rFonts w:cs="Calibri"/>
          <w:color w:val="000000"/>
        </w:rPr>
        <w:t xml:space="preserve"> change to empower community led solutions and turn villages and the camp free of open defecation. Partners are planning to increase latrine construction and provision of sanitary items including soap through innovative technology solutions, Cash Transfer (CT) </w:t>
      </w:r>
      <w:r w:rsidR="006B1BDF" w:rsidRPr="009E0050">
        <w:rPr>
          <w:rFonts w:cs="Calibri"/>
          <w:color w:val="000000"/>
        </w:rPr>
        <w:t>programs</w:t>
      </w:r>
      <w:r w:rsidRPr="009E0050">
        <w:rPr>
          <w:rFonts w:cs="Calibri"/>
          <w:color w:val="000000"/>
        </w:rPr>
        <w:t>, Community Based Organizations (CBO) engagement and CLTS promotion.</w:t>
      </w:r>
    </w:p>
    <w:p w14:paraId="4E9DFF8D" w14:textId="77777777" w:rsidR="006D68D4" w:rsidRPr="00A477DE" w:rsidRDefault="006D68D4" w:rsidP="00D531CE">
      <w:pPr>
        <w:pStyle w:val="Heading1"/>
      </w:pPr>
      <w:r w:rsidRPr="00A477DE">
        <w:rPr>
          <w:color w:val="000000"/>
        </w:rPr>
        <w:br w:type="page"/>
      </w:r>
      <w:bookmarkStart w:id="6" w:name="_Toc29286276"/>
      <w:r w:rsidR="00D531CE">
        <w:lastRenderedPageBreak/>
        <w:t xml:space="preserve">NRC </w:t>
      </w:r>
      <w:r w:rsidRPr="00A477DE">
        <w:t xml:space="preserve">WASH </w:t>
      </w:r>
      <w:r w:rsidR="00D531CE">
        <w:t xml:space="preserve">INTERVENTION </w:t>
      </w:r>
      <w:r w:rsidRPr="00A477DE">
        <w:t>IN KAKUMA AND KALOBEYEI</w:t>
      </w:r>
      <w:bookmarkEnd w:id="6"/>
      <w:r w:rsidRPr="00A477DE">
        <w:t xml:space="preserve"> </w:t>
      </w:r>
    </w:p>
    <w:p w14:paraId="4E9DFF8E" w14:textId="77777777" w:rsidR="006D68D4" w:rsidRPr="009E0050" w:rsidRDefault="006D68D4" w:rsidP="006D68D4">
      <w:pPr>
        <w:rPr>
          <w:rFonts w:cs="Calibri"/>
        </w:rPr>
      </w:pPr>
      <w:r w:rsidRPr="009E0050">
        <w:rPr>
          <w:rFonts w:cs="Calibri"/>
        </w:rPr>
        <w:t xml:space="preserve">NRC WASH </w:t>
      </w:r>
      <w:r w:rsidR="00E141DA" w:rsidRPr="009E0050">
        <w:rPr>
          <w:rFonts w:cs="Calibri"/>
        </w:rPr>
        <w:t>programs</w:t>
      </w:r>
      <w:r w:rsidRPr="009E0050">
        <w:rPr>
          <w:rFonts w:cs="Calibri"/>
        </w:rPr>
        <w:t xml:space="preserve"> in Kakuma and Kalobeyei seek to save lives, prevent diseases, promote dignity, and support access to better living conditions and livelihood opportunities. NRC has done this in Kakuma and its environs since 2015 through direct interventions, in collaboration with its shelter, education, Information counselling and Legal Assistance (ICLA) and Livelihoods and Food Security (LFS) programs, and through partnerships with other </w:t>
      </w:r>
      <w:r w:rsidR="00E141DA" w:rsidRPr="009E0050">
        <w:rPr>
          <w:rFonts w:cs="Calibri"/>
        </w:rPr>
        <w:t>organizations</w:t>
      </w:r>
      <w:r w:rsidRPr="009E0050">
        <w:rPr>
          <w:rFonts w:cs="Calibri"/>
        </w:rPr>
        <w:t xml:space="preserve"> like Sanivation. The mode of operation depends primarily on the WASH needs of the targeted beneficiaries, and the quickest and most effective way to meet those identified needs through the following thematic areas;</w:t>
      </w:r>
    </w:p>
    <w:p w14:paraId="4E9DFF8F" w14:textId="77777777" w:rsidR="006D68D4" w:rsidRPr="009E0050" w:rsidRDefault="006D68D4" w:rsidP="006D68D4">
      <w:pPr>
        <w:pStyle w:val="ListParagraph"/>
        <w:numPr>
          <w:ilvl w:val="0"/>
          <w:numId w:val="33"/>
        </w:numPr>
        <w:spacing w:after="160"/>
        <w:ind w:left="851"/>
        <w:rPr>
          <w:rFonts w:cs="Calibri"/>
        </w:rPr>
      </w:pPr>
      <w:r w:rsidRPr="009E0050">
        <w:rPr>
          <w:rFonts w:cs="Calibri"/>
        </w:rPr>
        <w:t>Supplying safe water for drinking, cooking, personal hygiene and household cleaning</w:t>
      </w:r>
    </w:p>
    <w:p w14:paraId="4E9DFF90" w14:textId="77777777" w:rsidR="006D68D4" w:rsidRPr="009E0050" w:rsidRDefault="006D68D4" w:rsidP="006D68D4">
      <w:pPr>
        <w:pStyle w:val="ListParagraph"/>
        <w:numPr>
          <w:ilvl w:val="0"/>
          <w:numId w:val="33"/>
        </w:numPr>
        <w:spacing w:after="160"/>
        <w:ind w:left="851"/>
        <w:rPr>
          <w:rFonts w:cs="Calibri"/>
        </w:rPr>
      </w:pPr>
      <w:r w:rsidRPr="009E0050">
        <w:rPr>
          <w:rFonts w:cs="Calibri"/>
        </w:rPr>
        <w:t>Providing and maintaining latrines or toilets segregated by gender, or family units that are safe for Persons With Disabilities (PWD), women, girls, men and boys to use at all times</w:t>
      </w:r>
    </w:p>
    <w:p w14:paraId="4E9DFF91" w14:textId="77777777" w:rsidR="006D68D4" w:rsidRPr="009E0050" w:rsidRDefault="006D68D4" w:rsidP="006D68D4">
      <w:pPr>
        <w:pStyle w:val="ListParagraph"/>
        <w:numPr>
          <w:ilvl w:val="0"/>
          <w:numId w:val="33"/>
        </w:numPr>
        <w:spacing w:after="160"/>
        <w:ind w:left="851"/>
        <w:rPr>
          <w:rFonts w:cs="Calibri"/>
        </w:rPr>
      </w:pPr>
      <w:r w:rsidRPr="009E0050">
        <w:rPr>
          <w:rFonts w:cs="Calibri"/>
        </w:rPr>
        <w:t>Active disease surveillance and increased vigilance on water quality and sanitation practices during disease outbreaks</w:t>
      </w:r>
    </w:p>
    <w:p w14:paraId="4E9DFF92" w14:textId="77777777" w:rsidR="006D68D4" w:rsidRPr="009E0050" w:rsidRDefault="006D68D4" w:rsidP="006D68D4">
      <w:pPr>
        <w:pStyle w:val="ListParagraph"/>
        <w:numPr>
          <w:ilvl w:val="0"/>
          <w:numId w:val="33"/>
        </w:numPr>
        <w:spacing w:after="160"/>
        <w:ind w:left="851"/>
        <w:rPr>
          <w:rFonts w:cs="Calibri"/>
        </w:rPr>
      </w:pPr>
      <w:r w:rsidRPr="009E0050">
        <w:rPr>
          <w:rFonts w:cs="Calibri"/>
        </w:rPr>
        <w:t>Solid waste management and site drainage activities, to reduce standing water and garbage where disease-carrying mosquitos or vermin can breed</w:t>
      </w:r>
    </w:p>
    <w:p w14:paraId="4E9DFF93" w14:textId="77777777" w:rsidR="006D68D4" w:rsidRPr="009E0050" w:rsidRDefault="006D68D4" w:rsidP="006D68D4">
      <w:pPr>
        <w:pStyle w:val="ListParagraph"/>
        <w:numPr>
          <w:ilvl w:val="0"/>
          <w:numId w:val="33"/>
        </w:numPr>
        <w:spacing w:after="160"/>
        <w:ind w:left="851"/>
        <w:rPr>
          <w:rFonts w:cs="Calibri"/>
        </w:rPr>
      </w:pPr>
      <w:r w:rsidRPr="009E0050">
        <w:rPr>
          <w:rFonts w:cs="Calibri"/>
        </w:rPr>
        <w:t xml:space="preserve">Hygiene promotion and community </w:t>
      </w:r>
      <w:r w:rsidR="00E141DA" w:rsidRPr="009E0050">
        <w:rPr>
          <w:rFonts w:cs="Calibri"/>
        </w:rPr>
        <w:t>mobilization</w:t>
      </w:r>
      <w:r w:rsidRPr="009E0050">
        <w:rPr>
          <w:rFonts w:cs="Calibri"/>
        </w:rPr>
        <w:t xml:space="preserve"> to promote safe hygiene and health-seeking </w:t>
      </w:r>
      <w:r w:rsidR="00E141DA" w:rsidRPr="009E0050">
        <w:rPr>
          <w:rFonts w:cs="Calibri"/>
        </w:rPr>
        <w:t>behaviors</w:t>
      </w:r>
      <w:r w:rsidRPr="009E0050">
        <w:rPr>
          <w:rFonts w:cs="Calibri"/>
        </w:rPr>
        <w:t>, and to empower displaced people to take an active role in WASH operations.</w:t>
      </w:r>
    </w:p>
    <w:p w14:paraId="4E9DFF94" w14:textId="77777777" w:rsidR="006D68D4" w:rsidRPr="009E0050" w:rsidRDefault="006D68D4" w:rsidP="006D68D4">
      <w:pPr>
        <w:autoSpaceDE w:val="0"/>
        <w:autoSpaceDN w:val="0"/>
        <w:adjustRightInd w:val="0"/>
        <w:spacing w:before="240"/>
        <w:rPr>
          <w:rFonts w:cs="Calibri"/>
          <w:color w:val="000000"/>
        </w:rPr>
      </w:pPr>
      <w:r w:rsidRPr="009E0050">
        <w:rPr>
          <w:rFonts w:cs="Calibri"/>
          <w:color w:val="000000"/>
        </w:rPr>
        <w:t>The NRC WASH project in Kakuma refugee camp and Kalobeyei settlement site has over the years been implemented in line with Kenya government policies, strategies, laws and regulations with funding from UNHCR, UNICEF, ECHO, and Norwegian Ministry of Foreign Affairs (NMFA), The Zurich Foundation, Solvatten Charitable Foundation, Kenya Government’s Water Sector Trust Fund (WSTF) and GIZ. In addition, the project is aligned to the Turkana County Integrated Development Plan (CIDP) II, Kalobeyei Integrated Social Economic Development Plan (KISEDP) and the Comprehensive Refugee Response Framework (CRRF). The Water Act of 2016 and other national policy guidelines have significantly informed the project implementation. In 2019, UNHCR funded NRC to provide full WASH services to refugees in Kakuma refugee camps and to provide water supply and some components of sanitation and hygiene in Kalobeyei settlement site. ECHO on the other hand supported NRC in implementation of WASH services to refugees in Kakuma refugee camps.</w:t>
      </w:r>
    </w:p>
    <w:p w14:paraId="4E9DFF95" w14:textId="77777777" w:rsidR="006D68D4" w:rsidRPr="009E0050" w:rsidRDefault="006D68D4" w:rsidP="006D68D4">
      <w:pPr>
        <w:pStyle w:val="Heading2"/>
        <w:rPr>
          <w:rFonts w:cs="Calibri"/>
          <w:szCs w:val="22"/>
        </w:rPr>
      </w:pPr>
      <w:bookmarkStart w:id="7" w:name="_Toc29286277"/>
      <w:r w:rsidRPr="009E0050">
        <w:rPr>
          <w:rFonts w:cs="Calibri"/>
          <w:szCs w:val="22"/>
        </w:rPr>
        <w:t>Project Outcomes</w:t>
      </w:r>
      <w:bookmarkEnd w:id="7"/>
      <w:r w:rsidRPr="009E0050">
        <w:rPr>
          <w:rFonts w:cs="Calibri"/>
          <w:szCs w:val="22"/>
        </w:rPr>
        <w:t xml:space="preserve"> </w:t>
      </w:r>
    </w:p>
    <w:p w14:paraId="4E9DFF96" w14:textId="77777777" w:rsidR="00D531CE" w:rsidRPr="009E0050" w:rsidRDefault="006D68D4" w:rsidP="006D68D4">
      <w:pPr>
        <w:autoSpaceDE w:val="0"/>
        <w:autoSpaceDN w:val="0"/>
        <w:adjustRightInd w:val="0"/>
        <w:spacing w:after="0"/>
        <w:rPr>
          <w:rFonts w:cs="Calibri"/>
          <w:color w:val="000000"/>
        </w:rPr>
      </w:pPr>
      <w:r w:rsidRPr="009E0050">
        <w:rPr>
          <w:rFonts w:cs="Calibri"/>
          <w:color w:val="000000"/>
        </w:rPr>
        <w:t xml:space="preserve">The WASH project outcomes were based on the objectives of the project. The investments made by UNHCR and ECHO to support WASH in Kakuma refugee camp as well as UNHCR investment to support water supply in Kalobeyei settlement sought to improve and maintain access to safe and adequate water supply with an average 20 </w:t>
      </w:r>
      <w:r w:rsidR="00D531CE" w:rsidRPr="009E0050">
        <w:rPr>
          <w:rFonts w:cs="Calibri"/>
          <w:color w:val="000000"/>
        </w:rPr>
        <w:t>liters</w:t>
      </w:r>
      <w:r w:rsidRPr="009E0050">
        <w:rPr>
          <w:rFonts w:cs="Calibri"/>
          <w:color w:val="000000"/>
        </w:rPr>
        <w:t xml:space="preserve"> of potable water available per person per day in both Kakuma and Kalobeyei. This is in line with World Health Organization (WHO) / UNHCR and SPHERE minimal </w:t>
      </w:r>
      <w:r w:rsidRPr="009E0050">
        <w:rPr>
          <w:rFonts w:cs="Calibri"/>
          <w:color w:val="000000"/>
        </w:rPr>
        <w:lastRenderedPageBreak/>
        <w:t>standard of 20lp/d. In addition, the project sought to ensure the population lives in satisfactory conditions of sanitation and hygiene. Most specifically, the project sought to increase household latrine coverage in Kakuma camps to 50% from 42% and to improve access to hygiene promotion activities from 60% to 75% in Kalobeyei settlement site. The ECHO assistance further sought to ensure that at least 95% of the beneficiaries in Kakuma considered that their basic WASH needs were met and that they had access to adequate hygiene practices. All these were sought to be implemented in such a way that at least 75% of the beneficiaries confirmed that the project was implemented in a safe way.</w:t>
      </w:r>
    </w:p>
    <w:p w14:paraId="4E9DFF97" w14:textId="77777777" w:rsidR="006D68D4" w:rsidRPr="00A477DE" w:rsidRDefault="00D531CE" w:rsidP="00D531CE">
      <w:pPr>
        <w:pStyle w:val="Heading1"/>
      </w:pPr>
      <w:r>
        <w:br w:type="page"/>
      </w:r>
      <w:bookmarkStart w:id="8" w:name="_Toc29286278"/>
      <w:r w:rsidR="006D68D4" w:rsidRPr="00A477DE">
        <w:lastRenderedPageBreak/>
        <w:t>THE KNOWLEDGE ATTITUDE AND PRACTICE SURVEY</w:t>
      </w:r>
      <w:bookmarkEnd w:id="8"/>
    </w:p>
    <w:p w14:paraId="4E9DFF98" w14:textId="77777777" w:rsidR="006D68D4" w:rsidRPr="009E0050" w:rsidRDefault="006D68D4" w:rsidP="006D68D4">
      <w:pPr>
        <w:spacing w:before="240"/>
        <w:rPr>
          <w:rFonts w:cs="Calibri"/>
        </w:rPr>
      </w:pPr>
      <w:r w:rsidRPr="009E0050">
        <w:rPr>
          <w:rFonts w:cs="Calibri"/>
        </w:rPr>
        <w:t xml:space="preserve">NRC commissioned a KAP survey with support from UNHCR and ECHO for the WASH program implemented in Kakuma refugee camp and Kalobeyei settlement site under the protection and access to assistance and services for vulnerable refugees. The survey provided an opportunity to undertake a comprehensive review of the program progress towards achievement of the results outlined in the Project Partnership Agreement (PPA) with UNHCR and ECHO e-single form. It was also intended to give NRC a basis for making the best strategic choices for future WASH </w:t>
      </w:r>
      <w:r w:rsidR="00D531CE" w:rsidRPr="009E0050">
        <w:rPr>
          <w:rFonts w:cs="Calibri"/>
        </w:rPr>
        <w:t>programs</w:t>
      </w:r>
      <w:r w:rsidRPr="009E0050">
        <w:rPr>
          <w:rFonts w:cs="Calibri"/>
        </w:rPr>
        <w:t>. The KAP survey was undertaken as part of program review which is a key milestone in UNHCR and ECHO programming process.</w:t>
      </w:r>
    </w:p>
    <w:p w14:paraId="4E9DFF99" w14:textId="77777777" w:rsidR="006D68D4" w:rsidRPr="009E0050" w:rsidRDefault="006D68D4" w:rsidP="006D68D4">
      <w:pPr>
        <w:spacing w:before="240"/>
        <w:rPr>
          <w:rFonts w:cs="Calibri"/>
        </w:rPr>
      </w:pPr>
      <w:r w:rsidRPr="009E0050">
        <w:rPr>
          <w:rFonts w:cs="Calibri"/>
        </w:rPr>
        <w:t xml:space="preserve">The survey was carried out in Kakuma refugee camp and Kalobeyei settlement site. The sites have no significant variations in terms of population composition, socio-economic status and livelihood systems. </w:t>
      </w:r>
    </w:p>
    <w:p w14:paraId="4E9DFF9A" w14:textId="77777777" w:rsidR="006D68D4" w:rsidRPr="009E0050" w:rsidRDefault="006D68D4" w:rsidP="006D68D4">
      <w:pPr>
        <w:pStyle w:val="Heading2"/>
        <w:rPr>
          <w:rFonts w:cs="Calibri"/>
          <w:szCs w:val="22"/>
        </w:rPr>
      </w:pPr>
      <w:bookmarkStart w:id="9" w:name="_Toc29286279"/>
      <w:r w:rsidRPr="009E0050">
        <w:rPr>
          <w:rFonts w:cs="Calibri"/>
          <w:szCs w:val="22"/>
        </w:rPr>
        <w:t>Purpose of the Survey</w:t>
      </w:r>
      <w:bookmarkEnd w:id="9"/>
      <w:r w:rsidRPr="009E0050">
        <w:rPr>
          <w:rFonts w:cs="Calibri"/>
          <w:szCs w:val="22"/>
        </w:rPr>
        <w:t xml:space="preserve"> </w:t>
      </w:r>
    </w:p>
    <w:p w14:paraId="4E9DFF9B" w14:textId="77777777" w:rsidR="006D68D4" w:rsidRPr="009E0050" w:rsidRDefault="006D68D4" w:rsidP="006D68D4">
      <w:pPr>
        <w:autoSpaceDE w:val="0"/>
        <w:autoSpaceDN w:val="0"/>
        <w:adjustRightInd w:val="0"/>
        <w:spacing w:after="0"/>
        <w:rPr>
          <w:rFonts w:cs="Calibri"/>
          <w:color w:val="000000"/>
        </w:rPr>
      </w:pPr>
      <w:r w:rsidRPr="009E0050">
        <w:rPr>
          <w:rFonts w:cs="Calibri"/>
          <w:color w:val="000000"/>
        </w:rPr>
        <w:t xml:space="preserve">The purpose of the survey was to inform NRC on the results of the WASH project based on the knowledge attitude and practices of the beneficiaries in line with the intended outcomes of the project. The internal survey is expected to strengthen both accountability of NRC to its donors, and key stakeholders and beneficiaries, and to learn from this experience to inform future WASH projects. The survey was planned from the beginning as part of the UNHCR and ECHO funding requirements. </w:t>
      </w:r>
    </w:p>
    <w:p w14:paraId="4E9DFF9C" w14:textId="77777777" w:rsidR="006D68D4" w:rsidRPr="009E0050" w:rsidRDefault="006D68D4" w:rsidP="006D68D4">
      <w:pPr>
        <w:pStyle w:val="Heading2"/>
        <w:rPr>
          <w:rFonts w:cs="Calibri"/>
          <w:szCs w:val="22"/>
        </w:rPr>
      </w:pPr>
      <w:bookmarkStart w:id="10" w:name="_Toc29286280"/>
      <w:r w:rsidRPr="009E0050">
        <w:rPr>
          <w:rFonts w:cs="Calibri"/>
          <w:szCs w:val="22"/>
        </w:rPr>
        <w:t>Methodology</w:t>
      </w:r>
      <w:bookmarkEnd w:id="10"/>
    </w:p>
    <w:p w14:paraId="4E9DFF9D" w14:textId="77777777" w:rsidR="006D68D4" w:rsidRPr="009E0050" w:rsidRDefault="006D68D4" w:rsidP="006D68D4">
      <w:pPr>
        <w:autoSpaceDE w:val="0"/>
        <w:autoSpaceDN w:val="0"/>
        <w:adjustRightInd w:val="0"/>
        <w:spacing w:after="0"/>
        <w:rPr>
          <w:rFonts w:cs="Calibri"/>
          <w:color w:val="000000"/>
        </w:rPr>
      </w:pPr>
      <w:r w:rsidRPr="009E0050">
        <w:rPr>
          <w:rFonts w:cs="Calibri"/>
          <w:color w:val="000000"/>
        </w:rPr>
        <w:t xml:space="preserve">The surveys adopted a summative evaluation approach and a combination of quantitative and qualitative methods were used to obtain answers to the survey questions. The mixed approach was adopted for purposes of complementary, triangulation, and validation of responses. Primary data was collected with the use of household questionnaires, Key Informant Interviews (KIIs) and review of existing literatures and reports. The inclusive criteria of the survey allowed the enumerators to collect data from household heads or any household member of age 18 years and above who consented to participate in the survey. Qualitative methods mainly KIIs were also adopted in order to gather an in-depth understanding of the perspectives of the various primary targets of the programme. These included households, members of WASH Committees, NRC staff and staff from the implementing partner agencies. Observation method was also used during the survey to assess WASH infrastructure and human habits. The infrastructure included; water points, sanitation and hygiene facilities. </w:t>
      </w:r>
    </w:p>
    <w:p w14:paraId="4E9DFF9E" w14:textId="77777777" w:rsidR="006D68D4" w:rsidRPr="009E0050" w:rsidRDefault="006D68D4" w:rsidP="006D68D4">
      <w:pPr>
        <w:pStyle w:val="Heading2"/>
        <w:rPr>
          <w:rFonts w:cs="Calibri"/>
          <w:szCs w:val="22"/>
        </w:rPr>
      </w:pPr>
      <w:bookmarkStart w:id="11" w:name="_Toc29286281"/>
      <w:r w:rsidRPr="009E0050">
        <w:rPr>
          <w:rFonts w:cs="Calibri"/>
          <w:szCs w:val="22"/>
        </w:rPr>
        <w:t>Survey Areas and Participants</w:t>
      </w:r>
      <w:bookmarkEnd w:id="11"/>
      <w:r w:rsidRPr="009E0050">
        <w:rPr>
          <w:rFonts w:cs="Calibri"/>
          <w:szCs w:val="22"/>
        </w:rPr>
        <w:t xml:space="preserve"> </w:t>
      </w:r>
    </w:p>
    <w:p w14:paraId="4E9DFF9F" w14:textId="77777777" w:rsidR="006D68D4" w:rsidRPr="009E0050" w:rsidRDefault="006D68D4" w:rsidP="006D68D4">
      <w:pPr>
        <w:autoSpaceDE w:val="0"/>
        <w:autoSpaceDN w:val="0"/>
        <w:adjustRightInd w:val="0"/>
        <w:spacing w:after="0"/>
        <w:rPr>
          <w:rFonts w:cs="Calibri"/>
          <w:color w:val="000000"/>
        </w:rPr>
      </w:pPr>
      <w:r w:rsidRPr="009E0050">
        <w:rPr>
          <w:rFonts w:cs="Calibri"/>
          <w:color w:val="000000"/>
        </w:rPr>
        <w:t xml:space="preserve">The survey was carried out in in the 4 camps of Kakuma and the 3 villages of Kalobeyei. In Kakuma, all the 13 zones were included in the study for significant representation. The study population comprised </w:t>
      </w:r>
      <w:r w:rsidRPr="009E0050">
        <w:rPr>
          <w:rFonts w:cs="Calibri"/>
          <w:color w:val="000000"/>
        </w:rPr>
        <w:lastRenderedPageBreak/>
        <w:t xml:space="preserve">all the households </w:t>
      </w:r>
      <w:r w:rsidR="00D531CE" w:rsidRPr="009E0050">
        <w:rPr>
          <w:rFonts w:cs="Calibri"/>
          <w:color w:val="000000"/>
        </w:rPr>
        <w:t>for the 192,352 r</w:t>
      </w:r>
      <w:r w:rsidRPr="009E0050">
        <w:rPr>
          <w:rFonts w:cs="Calibri"/>
          <w:color w:val="000000"/>
        </w:rPr>
        <w:t>efugees and asylum seekers registered in Kakuma camp (</w:t>
      </w:r>
      <w:r w:rsidRPr="009E0050">
        <w:rPr>
          <w:rFonts w:cs="Calibri"/>
        </w:rPr>
        <w:t xml:space="preserve">153,593) </w:t>
      </w:r>
      <w:r w:rsidRPr="009E0050">
        <w:rPr>
          <w:rFonts w:cs="Calibri"/>
          <w:color w:val="000000"/>
        </w:rPr>
        <w:t>and Kalobeyei settlement (</w:t>
      </w:r>
      <w:r w:rsidRPr="009E0050">
        <w:rPr>
          <w:rFonts w:cs="Calibri"/>
        </w:rPr>
        <w:t xml:space="preserve">36,099) </w:t>
      </w:r>
      <w:r w:rsidRPr="009E0050">
        <w:rPr>
          <w:rFonts w:cs="Calibri"/>
          <w:color w:val="000000"/>
        </w:rPr>
        <w:t xml:space="preserve">as per UNHCR population statistics of August 2019. The respondents were sampled household heads or family members aged 18 years and above. Although teachers who are patrons of school health clubs where institutional latrines had been done were targeted for interview, they were not reached due to school vacation. </w:t>
      </w:r>
    </w:p>
    <w:p w14:paraId="4E9DFFA0" w14:textId="77777777" w:rsidR="006D68D4" w:rsidRPr="009E0050" w:rsidRDefault="006D68D4" w:rsidP="006D68D4">
      <w:pPr>
        <w:autoSpaceDE w:val="0"/>
        <w:autoSpaceDN w:val="0"/>
        <w:adjustRightInd w:val="0"/>
        <w:spacing w:after="0"/>
        <w:rPr>
          <w:rFonts w:cs="Calibri"/>
          <w:color w:val="000000"/>
        </w:rPr>
      </w:pPr>
    </w:p>
    <w:p w14:paraId="4E9DFFA1" w14:textId="77777777" w:rsidR="006D68D4" w:rsidRPr="009E0050" w:rsidRDefault="006D68D4" w:rsidP="006D68D4">
      <w:pPr>
        <w:pStyle w:val="Heading2"/>
        <w:rPr>
          <w:rFonts w:cs="Calibri"/>
          <w:szCs w:val="22"/>
        </w:rPr>
      </w:pPr>
      <w:bookmarkStart w:id="12" w:name="_Toc29286282"/>
      <w:r w:rsidRPr="009E0050">
        <w:rPr>
          <w:rFonts w:cs="Calibri"/>
          <w:szCs w:val="22"/>
        </w:rPr>
        <w:t>Data Collection Methods</w:t>
      </w:r>
      <w:bookmarkEnd w:id="12"/>
      <w:r w:rsidRPr="009E0050">
        <w:rPr>
          <w:rFonts w:cs="Calibri"/>
          <w:szCs w:val="22"/>
        </w:rPr>
        <w:t xml:space="preserve"> </w:t>
      </w:r>
    </w:p>
    <w:p w14:paraId="4E9DFFA2" w14:textId="77777777" w:rsidR="006D68D4" w:rsidRPr="009E0050" w:rsidRDefault="006D68D4" w:rsidP="006D68D4">
      <w:pPr>
        <w:autoSpaceDE w:val="0"/>
        <w:autoSpaceDN w:val="0"/>
        <w:adjustRightInd w:val="0"/>
        <w:spacing w:after="0"/>
        <w:rPr>
          <w:rFonts w:cs="Calibri"/>
          <w:color w:val="000000"/>
        </w:rPr>
      </w:pPr>
      <w:r w:rsidRPr="009E0050">
        <w:rPr>
          <w:rFonts w:cs="Calibri"/>
          <w:color w:val="000000"/>
        </w:rPr>
        <w:t xml:space="preserve">The survey focused on quantitative data collection. The quantitative information was collected by 15 well trained and experienced enumerators using semi structured questionnaire created on KoBo toolbox developed by UNHCR through Cartong consultants and NRC. The semi structured questionnaire was based on an assessment of the key WASH indicators as outlined in the project documents and the global WASH mandatory indicators. Data collection was carried out within 5 days. Data was easily collected in the field using the remote offline function provided by KoBo toolbox using smart phones, with daily uploading of the data using Kobocollect by the enumerators provided by NRC. Since the KAP survey aimed to collect quantitative data, the data collection process ensured use of key informant interviews (KIIs) and document reviews. Triangulation of methods and sources was done to crosscheck and ensure the validity of all information. </w:t>
      </w:r>
    </w:p>
    <w:p w14:paraId="4E9DFFA3" w14:textId="77777777" w:rsidR="006D68D4" w:rsidRPr="009E0050" w:rsidRDefault="006D68D4" w:rsidP="006D68D4">
      <w:pPr>
        <w:pStyle w:val="Heading2"/>
        <w:rPr>
          <w:rFonts w:cs="Calibri"/>
          <w:szCs w:val="22"/>
        </w:rPr>
      </w:pPr>
      <w:bookmarkStart w:id="13" w:name="_Toc29286283"/>
      <w:r w:rsidRPr="009E0050">
        <w:rPr>
          <w:rFonts w:cs="Calibri"/>
          <w:szCs w:val="22"/>
        </w:rPr>
        <w:t>Sample Size</w:t>
      </w:r>
      <w:bookmarkEnd w:id="13"/>
    </w:p>
    <w:p w14:paraId="4E9DFFA4" w14:textId="77777777" w:rsidR="006D68D4" w:rsidRPr="009E0050" w:rsidRDefault="006D68D4" w:rsidP="006D68D4">
      <w:pPr>
        <w:rPr>
          <w:rFonts w:cs="Calibri"/>
        </w:rPr>
      </w:pPr>
      <w:r w:rsidRPr="009E0050">
        <w:rPr>
          <w:rFonts w:cs="Calibri"/>
        </w:rPr>
        <w:t>The survey adopted a mix of both proportionate, random and purposive sampling to sample out 2.5% of the total HHs in the camp to have a sample size of 962 households. The households were proportionately distributed across the zones and villages as per the population after which those to be interviewed were randomly selected. Households with PWDs and those that had benefited from container based Waste to value (WTV) toilets were purposefully sampled to be interviewed as part of the proportion in the specific blocks.</w:t>
      </w:r>
    </w:p>
    <w:p w14:paraId="4E9DFFA5" w14:textId="77777777" w:rsidR="006D68D4" w:rsidRPr="009E0050" w:rsidRDefault="006D68D4" w:rsidP="006D68D4">
      <w:pPr>
        <w:pStyle w:val="Heading2"/>
        <w:rPr>
          <w:rFonts w:cs="Calibri"/>
          <w:szCs w:val="22"/>
        </w:rPr>
      </w:pPr>
      <w:bookmarkStart w:id="14" w:name="_Toc29286284"/>
      <w:r w:rsidRPr="009E0050">
        <w:rPr>
          <w:rFonts w:cs="Calibri"/>
          <w:szCs w:val="22"/>
        </w:rPr>
        <w:t>Table 1: Sample size</w:t>
      </w:r>
      <w:bookmarkEnd w:id="14"/>
      <w:r w:rsidRPr="009E0050">
        <w:rPr>
          <w:rFonts w:cs="Calibri"/>
          <w:szCs w:val="22"/>
        </w:rPr>
        <w:t xml:space="preserve"> </w:t>
      </w:r>
    </w:p>
    <w:tbl>
      <w:tblPr>
        <w:tblW w:w="4902" w:type="pct"/>
        <w:tblLook w:val="04A0" w:firstRow="1" w:lastRow="0" w:firstColumn="1" w:lastColumn="0" w:noHBand="0" w:noVBand="1"/>
      </w:tblPr>
      <w:tblGrid>
        <w:gridCol w:w="3130"/>
        <w:gridCol w:w="3130"/>
        <w:gridCol w:w="3128"/>
      </w:tblGrid>
      <w:tr w:rsidR="006D68D4" w:rsidRPr="009E0050" w14:paraId="4E9DFFA9" w14:textId="77777777" w:rsidTr="00FF7866">
        <w:trPr>
          <w:trHeight w:val="295"/>
        </w:trPr>
        <w:tc>
          <w:tcPr>
            <w:tcW w:w="1667"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4E9DFFA6"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Location</w:t>
            </w:r>
          </w:p>
        </w:tc>
        <w:tc>
          <w:tcPr>
            <w:tcW w:w="1667" w:type="pct"/>
            <w:tcBorders>
              <w:top w:val="single" w:sz="8" w:space="0" w:color="auto"/>
              <w:left w:val="nil"/>
              <w:bottom w:val="single" w:sz="8" w:space="0" w:color="auto"/>
              <w:right w:val="single" w:sz="8" w:space="0" w:color="auto"/>
            </w:tcBorders>
            <w:shd w:val="clear" w:color="auto" w:fill="auto"/>
            <w:vAlign w:val="center"/>
            <w:hideMark/>
          </w:tcPr>
          <w:p w14:paraId="4E9DFFA7"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 xml:space="preserve">No. of respondents </w:t>
            </w:r>
          </w:p>
        </w:tc>
        <w:tc>
          <w:tcPr>
            <w:tcW w:w="1666" w:type="pct"/>
            <w:tcBorders>
              <w:top w:val="single" w:sz="8" w:space="0" w:color="auto"/>
              <w:left w:val="nil"/>
              <w:bottom w:val="single" w:sz="8" w:space="0" w:color="auto"/>
              <w:right w:val="single" w:sz="8" w:space="0" w:color="auto"/>
            </w:tcBorders>
            <w:shd w:val="clear" w:color="auto" w:fill="auto"/>
            <w:vAlign w:val="center"/>
            <w:hideMark/>
          </w:tcPr>
          <w:p w14:paraId="4E9DFFA8"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 xml:space="preserve">% of respondents </w:t>
            </w:r>
          </w:p>
        </w:tc>
      </w:tr>
      <w:tr w:rsidR="006D68D4" w:rsidRPr="009E0050" w14:paraId="4E9DFFAB" w14:textId="77777777" w:rsidTr="00FF7866">
        <w:trPr>
          <w:trHeight w:val="295"/>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9DFFAA"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 xml:space="preserve">Kakuma </w:t>
            </w:r>
          </w:p>
        </w:tc>
      </w:tr>
      <w:tr w:rsidR="006D68D4" w:rsidRPr="009E0050" w14:paraId="4E9DFFAF" w14:textId="77777777" w:rsidTr="00FF7866">
        <w:trPr>
          <w:trHeight w:val="295"/>
        </w:trPr>
        <w:tc>
          <w:tcPr>
            <w:tcW w:w="1667" w:type="pct"/>
            <w:tcBorders>
              <w:top w:val="nil"/>
              <w:left w:val="single" w:sz="8" w:space="0" w:color="auto"/>
              <w:bottom w:val="single" w:sz="8" w:space="0" w:color="auto"/>
              <w:right w:val="single" w:sz="8" w:space="0" w:color="auto"/>
            </w:tcBorders>
            <w:shd w:val="clear" w:color="auto" w:fill="auto"/>
            <w:vAlign w:val="center"/>
            <w:hideMark/>
          </w:tcPr>
          <w:p w14:paraId="4E9DFFAC"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 xml:space="preserve">Kakuma 1 </w:t>
            </w:r>
          </w:p>
        </w:tc>
        <w:tc>
          <w:tcPr>
            <w:tcW w:w="1667" w:type="pct"/>
            <w:tcBorders>
              <w:top w:val="nil"/>
              <w:left w:val="nil"/>
              <w:bottom w:val="single" w:sz="8" w:space="0" w:color="auto"/>
              <w:right w:val="single" w:sz="8" w:space="0" w:color="auto"/>
            </w:tcBorders>
            <w:shd w:val="clear" w:color="auto" w:fill="auto"/>
            <w:vAlign w:val="center"/>
            <w:hideMark/>
          </w:tcPr>
          <w:p w14:paraId="4E9DFFAD"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278</w:t>
            </w:r>
          </w:p>
        </w:tc>
        <w:tc>
          <w:tcPr>
            <w:tcW w:w="1666" w:type="pct"/>
            <w:tcBorders>
              <w:top w:val="nil"/>
              <w:left w:val="nil"/>
              <w:bottom w:val="single" w:sz="8" w:space="0" w:color="auto"/>
              <w:right w:val="single" w:sz="8" w:space="0" w:color="auto"/>
            </w:tcBorders>
            <w:shd w:val="clear" w:color="auto" w:fill="auto"/>
            <w:vAlign w:val="center"/>
            <w:hideMark/>
          </w:tcPr>
          <w:p w14:paraId="4E9DFFAE"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28.90%</w:t>
            </w:r>
          </w:p>
        </w:tc>
      </w:tr>
      <w:tr w:rsidR="006D68D4" w:rsidRPr="009E0050" w14:paraId="4E9DFFB3" w14:textId="77777777" w:rsidTr="00FF7866">
        <w:trPr>
          <w:trHeight w:val="295"/>
        </w:trPr>
        <w:tc>
          <w:tcPr>
            <w:tcW w:w="1667" w:type="pct"/>
            <w:tcBorders>
              <w:top w:val="nil"/>
              <w:left w:val="single" w:sz="8" w:space="0" w:color="auto"/>
              <w:bottom w:val="single" w:sz="8" w:space="0" w:color="auto"/>
              <w:right w:val="single" w:sz="8" w:space="0" w:color="auto"/>
            </w:tcBorders>
            <w:shd w:val="clear" w:color="auto" w:fill="auto"/>
            <w:vAlign w:val="center"/>
            <w:hideMark/>
          </w:tcPr>
          <w:p w14:paraId="4E9DFFB0"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 xml:space="preserve">Kakuma 2 </w:t>
            </w:r>
          </w:p>
        </w:tc>
        <w:tc>
          <w:tcPr>
            <w:tcW w:w="1667" w:type="pct"/>
            <w:tcBorders>
              <w:top w:val="nil"/>
              <w:left w:val="nil"/>
              <w:bottom w:val="single" w:sz="8" w:space="0" w:color="auto"/>
              <w:right w:val="single" w:sz="8" w:space="0" w:color="auto"/>
            </w:tcBorders>
            <w:shd w:val="clear" w:color="auto" w:fill="auto"/>
            <w:vAlign w:val="center"/>
            <w:hideMark/>
          </w:tcPr>
          <w:p w14:paraId="4E9DFFB1"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156</w:t>
            </w:r>
          </w:p>
        </w:tc>
        <w:tc>
          <w:tcPr>
            <w:tcW w:w="1666" w:type="pct"/>
            <w:tcBorders>
              <w:top w:val="nil"/>
              <w:left w:val="nil"/>
              <w:bottom w:val="single" w:sz="8" w:space="0" w:color="auto"/>
              <w:right w:val="single" w:sz="8" w:space="0" w:color="auto"/>
            </w:tcBorders>
            <w:shd w:val="clear" w:color="auto" w:fill="auto"/>
            <w:vAlign w:val="center"/>
            <w:hideMark/>
          </w:tcPr>
          <w:p w14:paraId="4E9DFFB2"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16.20%</w:t>
            </w:r>
          </w:p>
        </w:tc>
      </w:tr>
      <w:tr w:rsidR="006D68D4" w:rsidRPr="009E0050" w14:paraId="4E9DFFB7" w14:textId="77777777" w:rsidTr="00FF7866">
        <w:trPr>
          <w:trHeight w:val="295"/>
        </w:trPr>
        <w:tc>
          <w:tcPr>
            <w:tcW w:w="1667" w:type="pct"/>
            <w:tcBorders>
              <w:top w:val="nil"/>
              <w:left w:val="single" w:sz="8" w:space="0" w:color="auto"/>
              <w:bottom w:val="single" w:sz="8" w:space="0" w:color="auto"/>
              <w:right w:val="single" w:sz="8" w:space="0" w:color="auto"/>
            </w:tcBorders>
            <w:shd w:val="clear" w:color="auto" w:fill="auto"/>
            <w:vAlign w:val="center"/>
            <w:hideMark/>
          </w:tcPr>
          <w:p w14:paraId="4E9DFFB4"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 xml:space="preserve">Kakuma 3 </w:t>
            </w:r>
          </w:p>
        </w:tc>
        <w:tc>
          <w:tcPr>
            <w:tcW w:w="1667" w:type="pct"/>
            <w:tcBorders>
              <w:top w:val="nil"/>
              <w:left w:val="nil"/>
              <w:bottom w:val="single" w:sz="8" w:space="0" w:color="auto"/>
              <w:right w:val="single" w:sz="8" w:space="0" w:color="auto"/>
            </w:tcBorders>
            <w:shd w:val="clear" w:color="auto" w:fill="auto"/>
            <w:vAlign w:val="center"/>
            <w:hideMark/>
          </w:tcPr>
          <w:p w14:paraId="4E9DFFB5"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231</w:t>
            </w:r>
          </w:p>
        </w:tc>
        <w:tc>
          <w:tcPr>
            <w:tcW w:w="1666" w:type="pct"/>
            <w:tcBorders>
              <w:top w:val="nil"/>
              <w:left w:val="nil"/>
              <w:bottom w:val="single" w:sz="8" w:space="0" w:color="auto"/>
              <w:right w:val="single" w:sz="8" w:space="0" w:color="auto"/>
            </w:tcBorders>
            <w:shd w:val="clear" w:color="auto" w:fill="auto"/>
            <w:vAlign w:val="center"/>
            <w:hideMark/>
          </w:tcPr>
          <w:p w14:paraId="4E9DFFB6"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24%</w:t>
            </w:r>
          </w:p>
        </w:tc>
      </w:tr>
      <w:tr w:rsidR="006D68D4" w:rsidRPr="009E0050" w14:paraId="4E9DFFBB" w14:textId="77777777" w:rsidTr="00FF7866">
        <w:trPr>
          <w:trHeight w:val="295"/>
        </w:trPr>
        <w:tc>
          <w:tcPr>
            <w:tcW w:w="1667" w:type="pct"/>
            <w:tcBorders>
              <w:top w:val="nil"/>
              <w:left w:val="single" w:sz="8" w:space="0" w:color="auto"/>
              <w:bottom w:val="single" w:sz="8" w:space="0" w:color="auto"/>
              <w:right w:val="single" w:sz="8" w:space="0" w:color="auto"/>
            </w:tcBorders>
            <w:shd w:val="clear" w:color="auto" w:fill="auto"/>
            <w:vAlign w:val="center"/>
            <w:hideMark/>
          </w:tcPr>
          <w:p w14:paraId="4E9DFFB8"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 xml:space="preserve">Kakuma 4 </w:t>
            </w:r>
          </w:p>
        </w:tc>
        <w:tc>
          <w:tcPr>
            <w:tcW w:w="1667" w:type="pct"/>
            <w:tcBorders>
              <w:top w:val="nil"/>
              <w:left w:val="nil"/>
              <w:bottom w:val="single" w:sz="8" w:space="0" w:color="auto"/>
              <w:right w:val="single" w:sz="8" w:space="0" w:color="auto"/>
            </w:tcBorders>
            <w:shd w:val="clear" w:color="auto" w:fill="auto"/>
            <w:vAlign w:val="center"/>
            <w:hideMark/>
          </w:tcPr>
          <w:p w14:paraId="4E9DFFB9"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171</w:t>
            </w:r>
          </w:p>
        </w:tc>
        <w:tc>
          <w:tcPr>
            <w:tcW w:w="1666" w:type="pct"/>
            <w:tcBorders>
              <w:top w:val="nil"/>
              <w:left w:val="nil"/>
              <w:bottom w:val="single" w:sz="8" w:space="0" w:color="auto"/>
              <w:right w:val="single" w:sz="8" w:space="0" w:color="auto"/>
            </w:tcBorders>
            <w:shd w:val="clear" w:color="auto" w:fill="auto"/>
            <w:vAlign w:val="center"/>
            <w:hideMark/>
          </w:tcPr>
          <w:p w14:paraId="4E9DFFBA"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17.80%</w:t>
            </w:r>
          </w:p>
        </w:tc>
      </w:tr>
      <w:tr w:rsidR="006D68D4" w:rsidRPr="009E0050" w14:paraId="4E9DFFBF" w14:textId="77777777" w:rsidTr="00FF7866">
        <w:trPr>
          <w:trHeight w:val="295"/>
        </w:trPr>
        <w:tc>
          <w:tcPr>
            <w:tcW w:w="1667" w:type="pct"/>
            <w:tcBorders>
              <w:top w:val="nil"/>
              <w:left w:val="single" w:sz="8" w:space="0" w:color="auto"/>
              <w:bottom w:val="single" w:sz="8" w:space="0" w:color="auto"/>
              <w:right w:val="single" w:sz="8" w:space="0" w:color="auto"/>
            </w:tcBorders>
            <w:shd w:val="clear" w:color="auto" w:fill="auto"/>
            <w:vAlign w:val="center"/>
            <w:hideMark/>
          </w:tcPr>
          <w:p w14:paraId="4E9DFFBC"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 xml:space="preserve">Sub total </w:t>
            </w:r>
          </w:p>
        </w:tc>
        <w:tc>
          <w:tcPr>
            <w:tcW w:w="1667" w:type="pct"/>
            <w:tcBorders>
              <w:top w:val="nil"/>
              <w:left w:val="nil"/>
              <w:bottom w:val="single" w:sz="8" w:space="0" w:color="auto"/>
              <w:right w:val="single" w:sz="8" w:space="0" w:color="auto"/>
            </w:tcBorders>
            <w:shd w:val="clear" w:color="auto" w:fill="auto"/>
            <w:vAlign w:val="center"/>
            <w:hideMark/>
          </w:tcPr>
          <w:p w14:paraId="4E9DFFBD"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836</w:t>
            </w:r>
          </w:p>
        </w:tc>
        <w:tc>
          <w:tcPr>
            <w:tcW w:w="1666" w:type="pct"/>
            <w:tcBorders>
              <w:top w:val="nil"/>
              <w:left w:val="nil"/>
              <w:bottom w:val="single" w:sz="8" w:space="0" w:color="auto"/>
              <w:right w:val="single" w:sz="8" w:space="0" w:color="auto"/>
            </w:tcBorders>
            <w:shd w:val="clear" w:color="auto" w:fill="auto"/>
            <w:vAlign w:val="center"/>
            <w:hideMark/>
          </w:tcPr>
          <w:p w14:paraId="4E9DFFBE"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86.90%</w:t>
            </w:r>
          </w:p>
        </w:tc>
      </w:tr>
      <w:tr w:rsidR="006D68D4" w:rsidRPr="009E0050" w14:paraId="4E9DFFC1" w14:textId="77777777" w:rsidTr="00FF7866">
        <w:trPr>
          <w:trHeight w:val="295"/>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9DFFC0"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 xml:space="preserve">Kalobeyei </w:t>
            </w:r>
          </w:p>
        </w:tc>
      </w:tr>
      <w:tr w:rsidR="006D68D4" w:rsidRPr="009E0050" w14:paraId="4E9DFFC5" w14:textId="77777777" w:rsidTr="00FF7866">
        <w:trPr>
          <w:trHeight w:val="295"/>
        </w:trPr>
        <w:tc>
          <w:tcPr>
            <w:tcW w:w="1667" w:type="pct"/>
            <w:tcBorders>
              <w:top w:val="nil"/>
              <w:left w:val="single" w:sz="8" w:space="0" w:color="auto"/>
              <w:bottom w:val="single" w:sz="8" w:space="0" w:color="auto"/>
              <w:right w:val="single" w:sz="8" w:space="0" w:color="auto"/>
            </w:tcBorders>
            <w:shd w:val="clear" w:color="auto" w:fill="auto"/>
            <w:vAlign w:val="center"/>
            <w:hideMark/>
          </w:tcPr>
          <w:p w14:paraId="4E9DFFC2"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 xml:space="preserve">Village 1 </w:t>
            </w:r>
          </w:p>
        </w:tc>
        <w:tc>
          <w:tcPr>
            <w:tcW w:w="1667" w:type="pct"/>
            <w:tcBorders>
              <w:top w:val="nil"/>
              <w:left w:val="nil"/>
              <w:bottom w:val="single" w:sz="8" w:space="0" w:color="auto"/>
              <w:right w:val="single" w:sz="8" w:space="0" w:color="auto"/>
            </w:tcBorders>
            <w:shd w:val="clear" w:color="auto" w:fill="auto"/>
            <w:vAlign w:val="center"/>
            <w:hideMark/>
          </w:tcPr>
          <w:p w14:paraId="4E9DFFC3"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32</w:t>
            </w:r>
          </w:p>
        </w:tc>
        <w:tc>
          <w:tcPr>
            <w:tcW w:w="1666" w:type="pct"/>
            <w:tcBorders>
              <w:top w:val="nil"/>
              <w:left w:val="nil"/>
              <w:bottom w:val="single" w:sz="8" w:space="0" w:color="auto"/>
              <w:right w:val="single" w:sz="8" w:space="0" w:color="auto"/>
            </w:tcBorders>
            <w:shd w:val="clear" w:color="auto" w:fill="auto"/>
            <w:vAlign w:val="center"/>
            <w:hideMark/>
          </w:tcPr>
          <w:p w14:paraId="4E9DFFC4"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3.30%</w:t>
            </w:r>
          </w:p>
        </w:tc>
      </w:tr>
      <w:tr w:rsidR="006D68D4" w:rsidRPr="009E0050" w14:paraId="4E9DFFC9" w14:textId="77777777" w:rsidTr="00FF7866">
        <w:trPr>
          <w:trHeight w:val="295"/>
        </w:trPr>
        <w:tc>
          <w:tcPr>
            <w:tcW w:w="1667" w:type="pct"/>
            <w:tcBorders>
              <w:top w:val="nil"/>
              <w:left w:val="single" w:sz="8" w:space="0" w:color="auto"/>
              <w:bottom w:val="single" w:sz="8" w:space="0" w:color="auto"/>
              <w:right w:val="single" w:sz="8" w:space="0" w:color="auto"/>
            </w:tcBorders>
            <w:shd w:val="clear" w:color="auto" w:fill="auto"/>
            <w:vAlign w:val="center"/>
            <w:hideMark/>
          </w:tcPr>
          <w:p w14:paraId="4E9DFFC6"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 xml:space="preserve">Village 2 </w:t>
            </w:r>
          </w:p>
        </w:tc>
        <w:tc>
          <w:tcPr>
            <w:tcW w:w="1667" w:type="pct"/>
            <w:tcBorders>
              <w:top w:val="nil"/>
              <w:left w:val="nil"/>
              <w:bottom w:val="single" w:sz="8" w:space="0" w:color="auto"/>
              <w:right w:val="single" w:sz="8" w:space="0" w:color="auto"/>
            </w:tcBorders>
            <w:shd w:val="clear" w:color="auto" w:fill="auto"/>
            <w:vAlign w:val="center"/>
            <w:hideMark/>
          </w:tcPr>
          <w:p w14:paraId="4E9DFFC7"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66</w:t>
            </w:r>
          </w:p>
        </w:tc>
        <w:tc>
          <w:tcPr>
            <w:tcW w:w="1666" w:type="pct"/>
            <w:tcBorders>
              <w:top w:val="nil"/>
              <w:left w:val="nil"/>
              <w:bottom w:val="single" w:sz="8" w:space="0" w:color="auto"/>
              <w:right w:val="single" w:sz="8" w:space="0" w:color="auto"/>
            </w:tcBorders>
            <w:shd w:val="clear" w:color="auto" w:fill="auto"/>
            <w:vAlign w:val="center"/>
            <w:hideMark/>
          </w:tcPr>
          <w:p w14:paraId="4E9DFFC8"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6.90%</w:t>
            </w:r>
          </w:p>
        </w:tc>
      </w:tr>
      <w:tr w:rsidR="006D68D4" w:rsidRPr="009E0050" w14:paraId="4E9DFFCD" w14:textId="77777777" w:rsidTr="00FF7866">
        <w:trPr>
          <w:trHeight w:val="295"/>
        </w:trPr>
        <w:tc>
          <w:tcPr>
            <w:tcW w:w="1667" w:type="pct"/>
            <w:tcBorders>
              <w:top w:val="nil"/>
              <w:left w:val="single" w:sz="8" w:space="0" w:color="auto"/>
              <w:bottom w:val="single" w:sz="8" w:space="0" w:color="auto"/>
              <w:right w:val="single" w:sz="8" w:space="0" w:color="auto"/>
            </w:tcBorders>
            <w:shd w:val="clear" w:color="auto" w:fill="auto"/>
            <w:vAlign w:val="center"/>
            <w:hideMark/>
          </w:tcPr>
          <w:p w14:paraId="4E9DFFCA"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lastRenderedPageBreak/>
              <w:t xml:space="preserve">Village 3 </w:t>
            </w:r>
          </w:p>
        </w:tc>
        <w:tc>
          <w:tcPr>
            <w:tcW w:w="1667" w:type="pct"/>
            <w:tcBorders>
              <w:top w:val="nil"/>
              <w:left w:val="nil"/>
              <w:bottom w:val="single" w:sz="8" w:space="0" w:color="auto"/>
              <w:right w:val="single" w:sz="8" w:space="0" w:color="auto"/>
            </w:tcBorders>
            <w:shd w:val="clear" w:color="auto" w:fill="auto"/>
            <w:vAlign w:val="center"/>
            <w:hideMark/>
          </w:tcPr>
          <w:p w14:paraId="4E9DFFCB"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28</w:t>
            </w:r>
          </w:p>
        </w:tc>
        <w:tc>
          <w:tcPr>
            <w:tcW w:w="1666" w:type="pct"/>
            <w:tcBorders>
              <w:top w:val="nil"/>
              <w:left w:val="nil"/>
              <w:bottom w:val="single" w:sz="8" w:space="0" w:color="auto"/>
              <w:right w:val="single" w:sz="8" w:space="0" w:color="auto"/>
            </w:tcBorders>
            <w:shd w:val="clear" w:color="auto" w:fill="auto"/>
            <w:vAlign w:val="center"/>
            <w:hideMark/>
          </w:tcPr>
          <w:p w14:paraId="4E9DFFCC" w14:textId="77777777" w:rsidR="006D68D4" w:rsidRPr="009E0050" w:rsidRDefault="006D68D4" w:rsidP="00FF7866">
            <w:pPr>
              <w:spacing w:after="0"/>
              <w:jc w:val="left"/>
              <w:rPr>
                <w:rFonts w:eastAsia="Times New Roman" w:cs="Calibri"/>
                <w:color w:val="000000"/>
                <w:lang w:eastAsia="en-GB"/>
              </w:rPr>
            </w:pPr>
            <w:r w:rsidRPr="009E0050">
              <w:rPr>
                <w:rFonts w:eastAsia="Times New Roman" w:cs="Calibri"/>
                <w:color w:val="000000"/>
                <w:lang w:eastAsia="en-GB"/>
              </w:rPr>
              <w:t>2.90%</w:t>
            </w:r>
          </w:p>
        </w:tc>
      </w:tr>
      <w:tr w:rsidR="006D68D4" w:rsidRPr="009E0050" w14:paraId="4E9DFFD1" w14:textId="77777777" w:rsidTr="00FF7866">
        <w:trPr>
          <w:trHeight w:val="295"/>
        </w:trPr>
        <w:tc>
          <w:tcPr>
            <w:tcW w:w="1667" w:type="pct"/>
            <w:tcBorders>
              <w:top w:val="nil"/>
              <w:left w:val="single" w:sz="8" w:space="0" w:color="auto"/>
              <w:bottom w:val="single" w:sz="8" w:space="0" w:color="auto"/>
              <w:right w:val="single" w:sz="8" w:space="0" w:color="auto"/>
            </w:tcBorders>
            <w:shd w:val="clear" w:color="auto" w:fill="auto"/>
            <w:vAlign w:val="center"/>
            <w:hideMark/>
          </w:tcPr>
          <w:p w14:paraId="4E9DFFCE"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 xml:space="preserve">Sub total </w:t>
            </w:r>
          </w:p>
        </w:tc>
        <w:tc>
          <w:tcPr>
            <w:tcW w:w="1667" w:type="pct"/>
            <w:tcBorders>
              <w:top w:val="nil"/>
              <w:left w:val="nil"/>
              <w:bottom w:val="single" w:sz="8" w:space="0" w:color="auto"/>
              <w:right w:val="single" w:sz="8" w:space="0" w:color="auto"/>
            </w:tcBorders>
            <w:shd w:val="clear" w:color="auto" w:fill="auto"/>
            <w:vAlign w:val="center"/>
            <w:hideMark/>
          </w:tcPr>
          <w:p w14:paraId="4E9DFFCF"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126</w:t>
            </w:r>
          </w:p>
        </w:tc>
        <w:tc>
          <w:tcPr>
            <w:tcW w:w="1666" w:type="pct"/>
            <w:tcBorders>
              <w:top w:val="nil"/>
              <w:left w:val="nil"/>
              <w:bottom w:val="single" w:sz="8" w:space="0" w:color="auto"/>
              <w:right w:val="single" w:sz="8" w:space="0" w:color="auto"/>
            </w:tcBorders>
            <w:shd w:val="clear" w:color="auto" w:fill="auto"/>
            <w:vAlign w:val="center"/>
            <w:hideMark/>
          </w:tcPr>
          <w:p w14:paraId="4E9DFFD0"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13.10%</w:t>
            </w:r>
          </w:p>
        </w:tc>
      </w:tr>
      <w:tr w:rsidR="006D68D4" w:rsidRPr="009E0050" w14:paraId="4E9DFFD5" w14:textId="77777777" w:rsidTr="00FF7866">
        <w:trPr>
          <w:trHeight w:val="295"/>
        </w:trPr>
        <w:tc>
          <w:tcPr>
            <w:tcW w:w="1667" w:type="pct"/>
            <w:tcBorders>
              <w:top w:val="nil"/>
              <w:left w:val="single" w:sz="8" w:space="0" w:color="auto"/>
              <w:bottom w:val="single" w:sz="8" w:space="0" w:color="auto"/>
              <w:right w:val="single" w:sz="8" w:space="0" w:color="auto"/>
            </w:tcBorders>
            <w:shd w:val="clear" w:color="auto" w:fill="auto"/>
            <w:vAlign w:val="center"/>
            <w:hideMark/>
          </w:tcPr>
          <w:p w14:paraId="4E9DFFD2"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 xml:space="preserve">Total </w:t>
            </w:r>
          </w:p>
        </w:tc>
        <w:tc>
          <w:tcPr>
            <w:tcW w:w="1667" w:type="pct"/>
            <w:tcBorders>
              <w:top w:val="nil"/>
              <w:left w:val="nil"/>
              <w:bottom w:val="single" w:sz="8" w:space="0" w:color="auto"/>
              <w:right w:val="single" w:sz="8" w:space="0" w:color="auto"/>
            </w:tcBorders>
            <w:shd w:val="clear" w:color="auto" w:fill="auto"/>
            <w:vAlign w:val="center"/>
            <w:hideMark/>
          </w:tcPr>
          <w:p w14:paraId="4E9DFFD3"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962</w:t>
            </w:r>
          </w:p>
        </w:tc>
        <w:tc>
          <w:tcPr>
            <w:tcW w:w="1666" w:type="pct"/>
            <w:tcBorders>
              <w:top w:val="nil"/>
              <w:left w:val="nil"/>
              <w:bottom w:val="single" w:sz="8" w:space="0" w:color="auto"/>
              <w:right w:val="single" w:sz="8" w:space="0" w:color="auto"/>
            </w:tcBorders>
            <w:shd w:val="clear" w:color="auto" w:fill="auto"/>
            <w:vAlign w:val="center"/>
            <w:hideMark/>
          </w:tcPr>
          <w:p w14:paraId="4E9DFFD4" w14:textId="77777777" w:rsidR="006D68D4" w:rsidRPr="009E0050" w:rsidRDefault="006D68D4" w:rsidP="00FF7866">
            <w:pPr>
              <w:spacing w:after="0"/>
              <w:jc w:val="left"/>
              <w:rPr>
                <w:rFonts w:eastAsia="Times New Roman" w:cs="Calibri"/>
                <w:b/>
                <w:bCs/>
                <w:color w:val="000000"/>
                <w:lang w:eastAsia="en-GB"/>
              </w:rPr>
            </w:pPr>
            <w:r w:rsidRPr="009E0050">
              <w:rPr>
                <w:rFonts w:eastAsia="Times New Roman" w:cs="Calibri"/>
                <w:b/>
                <w:bCs/>
                <w:color w:val="000000"/>
                <w:lang w:eastAsia="en-GB"/>
              </w:rPr>
              <w:t>100%</w:t>
            </w:r>
          </w:p>
        </w:tc>
      </w:tr>
    </w:tbl>
    <w:p w14:paraId="4E9DFFD6" w14:textId="77777777" w:rsidR="006D68D4" w:rsidRPr="009E0050" w:rsidRDefault="006D68D4" w:rsidP="006D68D4">
      <w:pPr>
        <w:spacing w:before="240"/>
        <w:rPr>
          <w:rFonts w:cs="Calibri"/>
        </w:rPr>
      </w:pPr>
    </w:p>
    <w:p w14:paraId="4E9DFFD7" w14:textId="77777777" w:rsidR="006D68D4" w:rsidRPr="00A477DE" w:rsidRDefault="006D68D4" w:rsidP="00D531CE">
      <w:pPr>
        <w:pStyle w:val="Heading1"/>
      </w:pPr>
      <w:r w:rsidRPr="00A477DE">
        <w:br w:type="page"/>
      </w:r>
      <w:bookmarkStart w:id="15" w:name="_Toc29286285"/>
      <w:r w:rsidRPr="00A477DE">
        <w:lastRenderedPageBreak/>
        <w:t>FINDINGS</w:t>
      </w:r>
      <w:bookmarkEnd w:id="15"/>
    </w:p>
    <w:p w14:paraId="4E9DFFD8" w14:textId="77777777" w:rsidR="006D68D4" w:rsidRPr="009E0050" w:rsidRDefault="006D68D4" w:rsidP="006D68D4">
      <w:pPr>
        <w:pStyle w:val="Heading2"/>
        <w:rPr>
          <w:rFonts w:cs="Calibri"/>
          <w:szCs w:val="22"/>
        </w:rPr>
      </w:pPr>
      <w:bookmarkStart w:id="16" w:name="_Toc29286286"/>
      <w:r w:rsidRPr="009E0050">
        <w:rPr>
          <w:rFonts w:cs="Calibri"/>
          <w:szCs w:val="22"/>
        </w:rPr>
        <w:t>Response Rate</w:t>
      </w:r>
      <w:bookmarkEnd w:id="16"/>
    </w:p>
    <w:p w14:paraId="4E9DFFD9" w14:textId="77777777" w:rsidR="006D68D4" w:rsidRPr="009E0050" w:rsidRDefault="006D68D4" w:rsidP="006D68D4">
      <w:pPr>
        <w:rPr>
          <w:rFonts w:cs="Calibri"/>
        </w:rPr>
      </w:pPr>
      <w:r w:rsidRPr="009E0050">
        <w:rPr>
          <w:rFonts w:cs="Calibri"/>
        </w:rPr>
        <w:t xml:space="preserve">The survey enumerators interviewed 981 heads of household. However, 13 responses were incomplete and thus 968 questionnaires were </w:t>
      </w:r>
      <w:r w:rsidR="00D531CE" w:rsidRPr="009E0050">
        <w:rPr>
          <w:rFonts w:cs="Calibri"/>
        </w:rPr>
        <w:t>analyzed</w:t>
      </w:r>
      <w:r w:rsidRPr="009E0050">
        <w:rPr>
          <w:rFonts w:cs="Calibri"/>
        </w:rPr>
        <w:t xml:space="preserve"> to generate this report. </w:t>
      </w:r>
    </w:p>
    <w:p w14:paraId="4E9DFFDA" w14:textId="77777777" w:rsidR="006D68D4" w:rsidRPr="009E0050" w:rsidRDefault="006D68D4" w:rsidP="006D68D4">
      <w:pPr>
        <w:pStyle w:val="Heading2"/>
        <w:rPr>
          <w:rFonts w:cs="Calibri"/>
          <w:szCs w:val="22"/>
        </w:rPr>
      </w:pPr>
      <w:bookmarkStart w:id="17" w:name="_Toc29286287"/>
      <w:r w:rsidRPr="009E0050">
        <w:rPr>
          <w:rFonts w:cs="Calibri"/>
          <w:szCs w:val="22"/>
        </w:rPr>
        <w:t>Water Access</w:t>
      </w:r>
      <w:bookmarkEnd w:id="17"/>
    </w:p>
    <w:p w14:paraId="4E9DFFDB" w14:textId="77777777" w:rsidR="006D68D4" w:rsidRPr="009E0050" w:rsidRDefault="006D68D4" w:rsidP="006D68D4">
      <w:pPr>
        <w:pStyle w:val="Heading2"/>
        <w:rPr>
          <w:rFonts w:cs="Calibri"/>
          <w:szCs w:val="22"/>
        </w:rPr>
      </w:pPr>
      <w:bookmarkStart w:id="18" w:name="_Toc29286288"/>
      <w:r w:rsidRPr="009E0050">
        <w:rPr>
          <w:rFonts w:cs="Calibri"/>
          <w:szCs w:val="22"/>
        </w:rPr>
        <w:t>Table 2: Global Mandatory Indicators on Water Access</w:t>
      </w:r>
      <w:bookmarkEnd w:id="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3"/>
        <w:gridCol w:w="3191"/>
      </w:tblGrid>
      <w:tr w:rsidR="006D68D4" w:rsidRPr="009E0050" w14:paraId="4E9DFFDF" w14:textId="77777777" w:rsidTr="00FF7866">
        <w:trPr>
          <w:trHeight w:hRule="exact" w:val="868"/>
        </w:trPr>
        <w:tc>
          <w:tcPr>
            <w:tcW w:w="1667" w:type="pct"/>
            <w:shd w:val="clear" w:color="000000" w:fill="C5D9F1"/>
            <w:vAlign w:val="center"/>
            <w:hideMark/>
          </w:tcPr>
          <w:p w14:paraId="4E9DFFDC"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 xml:space="preserve">Average </w:t>
            </w:r>
            <w:r w:rsidR="008B739D" w:rsidRPr="009E0050">
              <w:rPr>
                <w:rFonts w:eastAsia="Times New Roman" w:cs="Calibri"/>
                <w:b/>
                <w:color w:val="000000"/>
                <w:lang w:eastAsia="en-GB"/>
              </w:rPr>
              <w:t>liters</w:t>
            </w:r>
            <w:r w:rsidRPr="009E0050">
              <w:rPr>
                <w:rFonts w:eastAsia="Times New Roman" w:cs="Calibri"/>
                <w:b/>
                <w:color w:val="000000"/>
                <w:lang w:eastAsia="en-GB"/>
              </w:rPr>
              <w:t xml:space="preserve"> of potable water/per person/per day collected at HH level</w:t>
            </w:r>
          </w:p>
        </w:tc>
        <w:tc>
          <w:tcPr>
            <w:tcW w:w="1667" w:type="pct"/>
            <w:shd w:val="clear" w:color="000000" w:fill="C5D9F1"/>
            <w:vAlign w:val="center"/>
            <w:hideMark/>
          </w:tcPr>
          <w:p w14:paraId="4E9DFFDD"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 HHs with at least 10 L/p protected water storage capacity</w:t>
            </w:r>
          </w:p>
        </w:tc>
        <w:tc>
          <w:tcPr>
            <w:tcW w:w="1667" w:type="pct"/>
            <w:shd w:val="clear" w:color="000000" w:fill="C5D9F1"/>
            <w:vAlign w:val="center"/>
            <w:hideMark/>
          </w:tcPr>
          <w:p w14:paraId="4E9DFFDE"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 HHs collecting drinking water from protected/treated sources</w:t>
            </w:r>
          </w:p>
        </w:tc>
      </w:tr>
      <w:tr w:rsidR="006D68D4" w:rsidRPr="009E0050" w14:paraId="4E9DFFE3" w14:textId="77777777" w:rsidTr="00FF7866">
        <w:trPr>
          <w:trHeight w:hRule="exact" w:val="315"/>
        </w:trPr>
        <w:tc>
          <w:tcPr>
            <w:tcW w:w="1667" w:type="pct"/>
            <w:shd w:val="clear" w:color="000000" w:fill="FCD5B4"/>
            <w:vAlign w:val="center"/>
            <w:hideMark/>
          </w:tcPr>
          <w:p w14:paraId="4E9DFFE0"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17.4</w:t>
            </w:r>
          </w:p>
        </w:tc>
        <w:tc>
          <w:tcPr>
            <w:tcW w:w="1667" w:type="pct"/>
            <w:shd w:val="clear" w:color="000000" w:fill="E6B8B7"/>
            <w:vAlign w:val="center"/>
            <w:hideMark/>
          </w:tcPr>
          <w:p w14:paraId="4E9DFFE1"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39.80%</w:t>
            </w:r>
          </w:p>
        </w:tc>
        <w:tc>
          <w:tcPr>
            <w:tcW w:w="1667" w:type="pct"/>
            <w:shd w:val="clear" w:color="000000" w:fill="D8E4BC"/>
            <w:noWrap/>
            <w:vAlign w:val="center"/>
            <w:hideMark/>
          </w:tcPr>
          <w:p w14:paraId="4E9DFFE2"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99.80%</w:t>
            </w:r>
          </w:p>
        </w:tc>
      </w:tr>
    </w:tbl>
    <w:p w14:paraId="4E9DFFE4" w14:textId="77777777" w:rsidR="006D68D4" w:rsidRPr="009E0050" w:rsidRDefault="006D68D4" w:rsidP="006D68D4">
      <w:pPr>
        <w:spacing w:before="240"/>
        <w:rPr>
          <w:rFonts w:cs="Calibri"/>
        </w:rPr>
      </w:pPr>
      <w:r w:rsidRPr="009E0050">
        <w:rPr>
          <w:rFonts w:cs="Calibri"/>
        </w:rPr>
        <w:t>Table 2 above present survey findings where the water per capita for both Kakuma and Kalobeyei stood at 17.4 l/P/d. In addition, 33.8% of the HHs had at least 10L/p protected water storage capacity and 99.8% HHs collected drinking water from protected water sources. A further review of the water production and distribution reports showed fluctuating trends throughout the year in the average water per person in both Kakuma and Kalobeyei as indicated in the figures below:</w:t>
      </w:r>
    </w:p>
    <w:p w14:paraId="4E9DFFE5" w14:textId="77777777" w:rsidR="006D68D4" w:rsidRPr="009E0050" w:rsidRDefault="006D68D4" w:rsidP="006D68D4">
      <w:pPr>
        <w:pStyle w:val="Heading2"/>
        <w:rPr>
          <w:rFonts w:cs="Calibri"/>
          <w:szCs w:val="22"/>
        </w:rPr>
      </w:pPr>
      <w:bookmarkStart w:id="19" w:name="_Toc29286289"/>
      <w:r w:rsidRPr="009E0050">
        <w:rPr>
          <w:rFonts w:cs="Calibri"/>
          <w:szCs w:val="22"/>
        </w:rPr>
        <w:t>Figure 1: Water Per Capita Trends in 2019</w:t>
      </w:r>
      <w:bookmarkEnd w:id="19"/>
    </w:p>
    <w:p w14:paraId="4E9DFFE6" w14:textId="77777777" w:rsidR="006D68D4" w:rsidRPr="009E0050" w:rsidRDefault="00ED071D" w:rsidP="006D68D4">
      <w:pPr>
        <w:rPr>
          <w:rFonts w:cs="Calibri"/>
        </w:rPr>
      </w:pPr>
      <w:r w:rsidRPr="009E0050">
        <w:rPr>
          <w:rFonts w:cs="Calibri"/>
          <w:noProof/>
        </w:rPr>
        <w:drawing>
          <wp:inline distT="0" distB="0" distL="0" distR="0" wp14:anchorId="4E9E0174" wp14:editId="4E9E0175">
            <wp:extent cx="5828030" cy="3140075"/>
            <wp:effectExtent l="0" t="0" r="0" b="0"/>
            <wp:docPr id="4"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9DFFE7" w14:textId="77777777" w:rsidR="006D68D4" w:rsidRPr="009E0050" w:rsidRDefault="00ED071D" w:rsidP="006D68D4">
      <w:pPr>
        <w:rPr>
          <w:rFonts w:cs="Calibri"/>
        </w:rPr>
      </w:pPr>
      <w:r w:rsidRPr="009E0050">
        <w:rPr>
          <w:rFonts w:cs="Calibri"/>
          <w:noProof/>
        </w:rPr>
        <w:lastRenderedPageBreak/>
        <w:drawing>
          <wp:inline distT="0" distB="0" distL="0" distR="0" wp14:anchorId="4E9E0176" wp14:editId="4E9E0177">
            <wp:extent cx="5781675" cy="3082290"/>
            <wp:effectExtent l="0" t="0" r="0" b="0"/>
            <wp:docPr id="5"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E9DFFE8" w14:textId="77777777" w:rsidR="006D68D4" w:rsidRPr="009E0050" w:rsidRDefault="006D68D4" w:rsidP="006D68D4">
      <w:pPr>
        <w:spacing w:before="240"/>
        <w:rPr>
          <w:rFonts w:cs="Calibri"/>
        </w:rPr>
      </w:pPr>
      <w:r w:rsidRPr="009E0050">
        <w:rPr>
          <w:rFonts w:cs="Calibri"/>
        </w:rPr>
        <w:t>The table below present the specific findings from the 4 camps of Kakuma and the entire Kalobeyei settlement site.</w:t>
      </w:r>
    </w:p>
    <w:p w14:paraId="4E9DFFE9" w14:textId="77777777" w:rsidR="006D68D4" w:rsidRPr="009E0050" w:rsidRDefault="006D68D4" w:rsidP="006D68D4">
      <w:pPr>
        <w:pStyle w:val="Heading2"/>
        <w:rPr>
          <w:rFonts w:cs="Calibri"/>
          <w:szCs w:val="22"/>
        </w:rPr>
      </w:pPr>
      <w:bookmarkStart w:id="20" w:name="_Toc29286290"/>
      <w:r w:rsidRPr="009E0050">
        <w:rPr>
          <w:rFonts w:cs="Calibri"/>
          <w:szCs w:val="22"/>
        </w:rPr>
        <w:t>Table 3: Global Mandatory Indicators per Camp</w:t>
      </w:r>
      <w:bookmarkEnd w:id="2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4"/>
        <w:gridCol w:w="2636"/>
        <w:gridCol w:w="3080"/>
        <w:gridCol w:w="2766"/>
      </w:tblGrid>
      <w:tr w:rsidR="006D68D4" w:rsidRPr="009E0050" w14:paraId="4E9DFFEE" w14:textId="77777777" w:rsidTr="00FF7866">
        <w:trPr>
          <w:trHeight w:val="615"/>
        </w:trPr>
        <w:tc>
          <w:tcPr>
            <w:tcW w:w="419" w:type="pct"/>
            <w:shd w:val="clear" w:color="000000" w:fill="C5D9F1"/>
            <w:vAlign w:val="center"/>
            <w:hideMark/>
          </w:tcPr>
          <w:p w14:paraId="4E9DFFEA"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Location</w:t>
            </w:r>
          </w:p>
        </w:tc>
        <w:tc>
          <w:tcPr>
            <w:tcW w:w="1427" w:type="pct"/>
            <w:shd w:val="clear" w:color="000000" w:fill="C5D9F1"/>
            <w:vAlign w:val="center"/>
            <w:hideMark/>
          </w:tcPr>
          <w:p w14:paraId="4E9DFFEB"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 xml:space="preserve">Average </w:t>
            </w:r>
            <w:r w:rsidR="00D531CE" w:rsidRPr="009E0050">
              <w:rPr>
                <w:rFonts w:eastAsia="Times New Roman" w:cs="Calibri"/>
                <w:b/>
                <w:color w:val="000000"/>
                <w:lang w:eastAsia="en-GB"/>
              </w:rPr>
              <w:t>liters</w:t>
            </w:r>
            <w:r w:rsidRPr="009E0050">
              <w:rPr>
                <w:rFonts w:eastAsia="Times New Roman" w:cs="Calibri"/>
                <w:b/>
                <w:color w:val="000000"/>
                <w:lang w:eastAsia="en-GB"/>
              </w:rPr>
              <w:t xml:space="preserve"> of potable water/per person/per day collected at HH level</w:t>
            </w:r>
          </w:p>
        </w:tc>
        <w:tc>
          <w:tcPr>
            <w:tcW w:w="1659" w:type="pct"/>
            <w:shd w:val="clear" w:color="000000" w:fill="C5D9F1"/>
            <w:vAlign w:val="center"/>
            <w:hideMark/>
          </w:tcPr>
          <w:p w14:paraId="4E9DFFEC"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 HHs with at least 10 L/p protected water storage capacity</w:t>
            </w:r>
          </w:p>
        </w:tc>
        <w:tc>
          <w:tcPr>
            <w:tcW w:w="1495" w:type="pct"/>
            <w:shd w:val="clear" w:color="000000" w:fill="C5D9F1"/>
            <w:vAlign w:val="center"/>
            <w:hideMark/>
          </w:tcPr>
          <w:p w14:paraId="4E9DFFED"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 HHs collecting drinking water from protected/treated sources</w:t>
            </w:r>
          </w:p>
        </w:tc>
      </w:tr>
      <w:tr w:rsidR="006D68D4" w:rsidRPr="009E0050" w14:paraId="4E9DFFF3" w14:textId="77777777" w:rsidTr="00FF7866">
        <w:trPr>
          <w:trHeight w:val="315"/>
        </w:trPr>
        <w:tc>
          <w:tcPr>
            <w:tcW w:w="419" w:type="pct"/>
            <w:shd w:val="clear" w:color="auto" w:fill="auto"/>
            <w:noWrap/>
            <w:vAlign w:val="center"/>
            <w:hideMark/>
          </w:tcPr>
          <w:p w14:paraId="4E9DFFEF"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Kakuma 1</w:t>
            </w:r>
          </w:p>
        </w:tc>
        <w:tc>
          <w:tcPr>
            <w:tcW w:w="1427" w:type="pct"/>
            <w:shd w:val="clear" w:color="000000" w:fill="FCD5B4"/>
            <w:vAlign w:val="center"/>
            <w:hideMark/>
          </w:tcPr>
          <w:p w14:paraId="4E9DFFF0"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16.9</w:t>
            </w:r>
          </w:p>
        </w:tc>
        <w:tc>
          <w:tcPr>
            <w:tcW w:w="1659" w:type="pct"/>
            <w:shd w:val="clear" w:color="000000" w:fill="E6B8B7"/>
            <w:vAlign w:val="center"/>
            <w:hideMark/>
          </w:tcPr>
          <w:p w14:paraId="4E9DFFF1"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38.80%</w:t>
            </w:r>
          </w:p>
        </w:tc>
        <w:tc>
          <w:tcPr>
            <w:tcW w:w="1495" w:type="pct"/>
            <w:shd w:val="clear" w:color="000000" w:fill="D8E4BC"/>
            <w:noWrap/>
            <w:vAlign w:val="center"/>
            <w:hideMark/>
          </w:tcPr>
          <w:p w14:paraId="4E9DFFF2"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99.70%</w:t>
            </w:r>
          </w:p>
        </w:tc>
      </w:tr>
      <w:tr w:rsidR="006D68D4" w:rsidRPr="009E0050" w14:paraId="4E9DFFF8" w14:textId="77777777" w:rsidTr="00FF7866">
        <w:trPr>
          <w:trHeight w:val="315"/>
        </w:trPr>
        <w:tc>
          <w:tcPr>
            <w:tcW w:w="419" w:type="pct"/>
            <w:shd w:val="clear" w:color="auto" w:fill="auto"/>
            <w:noWrap/>
            <w:vAlign w:val="center"/>
            <w:hideMark/>
          </w:tcPr>
          <w:p w14:paraId="4E9DFFF4"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Kakuma 2</w:t>
            </w:r>
          </w:p>
        </w:tc>
        <w:tc>
          <w:tcPr>
            <w:tcW w:w="1427" w:type="pct"/>
            <w:shd w:val="clear" w:color="000000" w:fill="FCD5B4"/>
            <w:vAlign w:val="center"/>
            <w:hideMark/>
          </w:tcPr>
          <w:p w14:paraId="4E9DFFF5"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5.9</w:t>
            </w:r>
          </w:p>
        </w:tc>
        <w:tc>
          <w:tcPr>
            <w:tcW w:w="1659" w:type="pct"/>
            <w:shd w:val="clear" w:color="000000" w:fill="E6B8B7"/>
            <w:vAlign w:val="center"/>
            <w:hideMark/>
          </w:tcPr>
          <w:p w14:paraId="4E9DFFF6"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29.40%</w:t>
            </w:r>
          </w:p>
        </w:tc>
        <w:tc>
          <w:tcPr>
            <w:tcW w:w="1495" w:type="pct"/>
            <w:shd w:val="clear" w:color="000000" w:fill="D8E4BC"/>
            <w:noWrap/>
            <w:vAlign w:val="center"/>
            <w:hideMark/>
          </w:tcPr>
          <w:p w14:paraId="4E9DFFF7"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100.00%</w:t>
            </w:r>
          </w:p>
        </w:tc>
      </w:tr>
      <w:tr w:rsidR="006D68D4" w:rsidRPr="009E0050" w14:paraId="4E9DFFFD" w14:textId="77777777" w:rsidTr="00FF7866">
        <w:trPr>
          <w:trHeight w:val="315"/>
        </w:trPr>
        <w:tc>
          <w:tcPr>
            <w:tcW w:w="419" w:type="pct"/>
            <w:shd w:val="clear" w:color="auto" w:fill="auto"/>
            <w:noWrap/>
            <w:vAlign w:val="center"/>
            <w:hideMark/>
          </w:tcPr>
          <w:p w14:paraId="4E9DFFF9"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Kakuma 3</w:t>
            </w:r>
          </w:p>
        </w:tc>
        <w:tc>
          <w:tcPr>
            <w:tcW w:w="1427" w:type="pct"/>
            <w:shd w:val="clear" w:color="000000" w:fill="FCD5B4"/>
            <w:vAlign w:val="center"/>
            <w:hideMark/>
          </w:tcPr>
          <w:p w14:paraId="4E9DFFFA"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18.5</w:t>
            </w:r>
          </w:p>
        </w:tc>
        <w:tc>
          <w:tcPr>
            <w:tcW w:w="1659" w:type="pct"/>
            <w:shd w:val="clear" w:color="000000" w:fill="E6B8B7"/>
            <w:vAlign w:val="center"/>
            <w:hideMark/>
          </w:tcPr>
          <w:p w14:paraId="4E9DFFFB"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44.30%</w:t>
            </w:r>
          </w:p>
        </w:tc>
        <w:tc>
          <w:tcPr>
            <w:tcW w:w="1495" w:type="pct"/>
            <w:shd w:val="clear" w:color="000000" w:fill="D8E4BC"/>
            <w:noWrap/>
            <w:vAlign w:val="center"/>
            <w:hideMark/>
          </w:tcPr>
          <w:p w14:paraId="4E9DFFFC"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100.00%</w:t>
            </w:r>
          </w:p>
        </w:tc>
      </w:tr>
      <w:tr w:rsidR="006D68D4" w:rsidRPr="009E0050" w14:paraId="4E9E0002" w14:textId="77777777" w:rsidTr="00FF7866">
        <w:trPr>
          <w:trHeight w:val="315"/>
        </w:trPr>
        <w:tc>
          <w:tcPr>
            <w:tcW w:w="419" w:type="pct"/>
            <w:shd w:val="clear" w:color="auto" w:fill="auto"/>
            <w:noWrap/>
            <w:vAlign w:val="center"/>
            <w:hideMark/>
          </w:tcPr>
          <w:p w14:paraId="4E9DFFFE"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Kakuma 4</w:t>
            </w:r>
          </w:p>
        </w:tc>
        <w:tc>
          <w:tcPr>
            <w:tcW w:w="1427" w:type="pct"/>
            <w:shd w:val="clear" w:color="000000" w:fill="FCD5B4"/>
            <w:vAlign w:val="center"/>
            <w:hideMark/>
          </w:tcPr>
          <w:p w14:paraId="4E9DFFFF"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9.8</w:t>
            </w:r>
          </w:p>
        </w:tc>
        <w:tc>
          <w:tcPr>
            <w:tcW w:w="1659" w:type="pct"/>
            <w:shd w:val="clear" w:color="000000" w:fill="E6B8B7"/>
            <w:vAlign w:val="center"/>
            <w:hideMark/>
          </w:tcPr>
          <w:p w14:paraId="4E9E0000"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30.00%</w:t>
            </w:r>
          </w:p>
        </w:tc>
        <w:tc>
          <w:tcPr>
            <w:tcW w:w="1495" w:type="pct"/>
            <w:shd w:val="clear" w:color="000000" w:fill="D8E4BC"/>
            <w:noWrap/>
            <w:vAlign w:val="center"/>
            <w:hideMark/>
          </w:tcPr>
          <w:p w14:paraId="4E9E0001"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100.00%</w:t>
            </w:r>
          </w:p>
        </w:tc>
      </w:tr>
      <w:tr w:rsidR="006D68D4" w:rsidRPr="009E0050" w14:paraId="4E9E0007" w14:textId="77777777" w:rsidTr="00FF7866">
        <w:trPr>
          <w:trHeight w:val="315"/>
        </w:trPr>
        <w:tc>
          <w:tcPr>
            <w:tcW w:w="419" w:type="pct"/>
            <w:shd w:val="clear" w:color="auto" w:fill="auto"/>
            <w:noWrap/>
            <w:vAlign w:val="center"/>
            <w:hideMark/>
          </w:tcPr>
          <w:p w14:paraId="4E9E0003"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Kalobeyei</w:t>
            </w:r>
          </w:p>
        </w:tc>
        <w:tc>
          <w:tcPr>
            <w:tcW w:w="1427" w:type="pct"/>
            <w:shd w:val="clear" w:color="000000" w:fill="FCD5B4"/>
            <w:vAlign w:val="center"/>
            <w:hideMark/>
          </w:tcPr>
          <w:p w14:paraId="4E9E0004"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17.55</w:t>
            </w:r>
          </w:p>
        </w:tc>
        <w:tc>
          <w:tcPr>
            <w:tcW w:w="1659" w:type="pct"/>
            <w:shd w:val="clear" w:color="000000" w:fill="E6B8B7"/>
            <w:vAlign w:val="center"/>
            <w:hideMark/>
          </w:tcPr>
          <w:p w14:paraId="4E9E0005"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50.70%</w:t>
            </w:r>
          </w:p>
        </w:tc>
        <w:tc>
          <w:tcPr>
            <w:tcW w:w="1495" w:type="pct"/>
            <w:shd w:val="clear" w:color="000000" w:fill="D8E4BC"/>
            <w:noWrap/>
            <w:vAlign w:val="center"/>
            <w:hideMark/>
          </w:tcPr>
          <w:p w14:paraId="4E9E0006"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99.30%</w:t>
            </w:r>
          </w:p>
        </w:tc>
      </w:tr>
    </w:tbl>
    <w:p w14:paraId="4E9E0008" w14:textId="77777777" w:rsidR="006D68D4" w:rsidRPr="009E0050" w:rsidRDefault="006D68D4" w:rsidP="006D68D4">
      <w:pPr>
        <w:pStyle w:val="Heading2"/>
        <w:rPr>
          <w:rFonts w:cs="Calibri"/>
          <w:szCs w:val="22"/>
        </w:rPr>
      </w:pPr>
      <w:bookmarkStart w:id="21" w:name="_Toc29286291"/>
      <w:r w:rsidRPr="009E0050">
        <w:rPr>
          <w:rFonts w:cs="Calibri"/>
          <w:szCs w:val="22"/>
        </w:rPr>
        <w:t>Water Collection</w:t>
      </w:r>
      <w:bookmarkEnd w:id="21"/>
    </w:p>
    <w:p w14:paraId="4E9E0009" w14:textId="77777777" w:rsidR="006D68D4" w:rsidRPr="009E0050" w:rsidRDefault="006D68D4" w:rsidP="006D68D4">
      <w:pPr>
        <w:rPr>
          <w:rFonts w:cs="Calibri"/>
        </w:rPr>
      </w:pPr>
      <w:r w:rsidRPr="009E0050">
        <w:rPr>
          <w:rFonts w:cs="Calibri"/>
        </w:rPr>
        <w:t>Majority of the HHs interviewed reported that adult female at 59% were responsible for collecting water while children between 11 and 18 years were responsible for collecting water in 22% of the HHs. Adult male were responsible for collecting water in 19% of the households interviewed. The findings are presented in figure 2 below:</w:t>
      </w:r>
    </w:p>
    <w:p w14:paraId="4E9E000A" w14:textId="77777777" w:rsidR="006D68D4" w:rsidRPr="009E0050" w:rsidRDefault="006D68D4" w:rsidP="006D68D4">
      <w:pPr>
        <w:pStyle w:val="Heading2"/>
        <w:rPr>
          <w:rFonts w:cs="Calibri"/>
          <w:szCs w:val="22"/>
        </w:rPr>
      </w:pPr>
      <w:bookmarkStart w:id="22" w:name="_Toc29286292"/>
      <w:r w:rsidRPr="009E0050">
        <w:rPr>
          <w:rFonts w:cs="Calibri"/>
          <w:szCs w:val="22"/>
        </w:rPr>
        <w:lastRenderedPageBreak/>
        <w:t>Figure 2: Water Collection in the Household</w:t>
      </w:r>
      <w:bookmarkEnd w:id="22"/>
    </w:p>
    <w:p w14:paraId="4E9E000B" w14:textId="77777777" w:rsidR="006D68D4" w:rsidRPr="009E0050" w:rsidRDefault="00ED071D" w:rsidP="006D68D4">
      <w:pPr>
        <w:rPr>
          <w:rFonts w:cs="Calibri"/>
        </w:rPr>
      </w:pPr>
      <w:r w:rsidRPr="009E0050">
        <w:rPr>
          <w:rFonts w:cs="Calibri"/>
          <w:noProof/>
        </w:rPr>
        <w:drawing>
          <wp:inline distT="0" distB="0" distL="0" distR="0" wp14:anchorId="4E9E0178" wp14:editId="4E9E0179">
            <wp:extent cx="5665470" cy="3476625"/>
            <wp:effectExtent l="0" t="0" r="0" b="0"/>
            <wp:docPr id="6" name="Chart 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E9E000C" w14:textId="77777777" w:rsidR="006D68D4" w:rsidRPr="009E0050" w:rsidRDefault="006D68D4" w:rsidP="006D68D4">
      <w:pPr>
        <w:pStyle w:val="Heading2"/>
        <w:rPr>
          <w:rFonts w:cs="Calibri"/>
          <w:szCs w:val="22"/>
        </w:rPr>
      </w:pPr>
      <w:bookmarkStart w:id="23" w:name="_Toc29286293"/>
      <w:r w:rsidRPr="009E0050">
        <w:rPr>
          <w:rFonts w:cs="Calibri"/>
          <w:szCs w:val="22"/>
        </w:rPr>
        <w:t>Paying for Water</w:t>
      </w:r>
      <w:bookmarkEnd w:id="23"/>
    </w:p>
    <w:p w14:paraId="4E9E000D" w14:textId="77777777" w:rsidR="006D68D4" w:rsidRPr="009E0050" w:rsidRDefault="006D68D4" w:rsidP="006D68D4">
      <w:pPr>
        <w:rPr>
          <w:rFonts w:cs="Calibri"/>
        </w:rPr>
      </w:pPr>
      <w:r w:rsidRPr="009E0050">
        <w:rPr>
          <w:rFonts w:cs="Calibri"/>
        </w:rPr>
        <w:t xml:space="preserve">Survey findings indicate that only 2% of the households interviewed reported paying for water all of them from Kalobeyei. The households reported that they paid for water per period of time collected at 1% and per volume at 1%. </w:t>
      </w:r>
    </w:p>
    <w:p w14:paraId="4E9E000E" w14:textId="77777777" w:rsidR="006D68D4" w:rsidRPr="009E0050" w:rsidRDefault="006D68D4" w:rsidP="006D68D4">
      <w:pPr>
        <w:pStyle w:val="Heading2"/>
        <w:rPr>
          <w:rFonts w:cs="Calibri"/>
          <w:szCs w:val="22"/>
        </w:rPr>
      </w:pPr>
      <w:bookmarkStart w:id="24" w:name="_Toc29286294"/>
      <w:r w:rsidRPr="009E0050">
        <w:rPr>
          <w:rFonts w:cs="Calibri"/>
          <w:szCs w:val="22"/>
        </w:rPr>
        <w:lastRenderedPageBreak/>
        <w:t>Water Quality Practices</w:t>
      </w:r>
      <w:bookmarkEnd w:id="24"/>
    </w:p>
    <w:p w14:paraId="4E9E000F" w14:textId="77777777" w:rsidR="006D68D4" w:rsidRPr="009E0050" w:rsidRDefault="006D68D4" w:rsidP="006D68D4">
      <w:pPr>
        <w:pStyle w:val="Heading2"/>
        <w:rPr>
          <w:rFonts w:cs="Calibri"/>
          <w:szCs w:val="22"/>
        </w:rPr>
      </w:pPr>
      <w:bookmarkStart w:id="25" w:name="_Toc29286295"/>
      <w:r w:rsidRPr="009E0050">
        <w:rPr>
          <w:rFonts w:cs="Calibri"/>
          <w:szCs w:val="22"/>
        </w:rPr>
        <w:t>Figure 3: Frequency of Cleaning Water Storage Containers</w:t>
      </w:r>
      <w:bookmarkEnd w:id="25"/>
    </w:p>
    <w:p w14:paraId="4E9E0010" w14:textId="77777777" w:rsidR="006D68D4" w:rsidRPr="009E0050" w:rsidRDefault="00ED071D" w:rsidP="006D68D4">
      <w:pPr>
        <w:rPr>
          <w:rFonts w:cs="Calibri"/>
        </w:rPr>
      </w:pPr>
      <w:r w:rsidRPr="009E0050">
        <w:rPr>
          <w:rFonts w:cs="Calibri"/>
          <w:noProof/>
        </w:rPr>
        <w:drawing>
          <wp:inline distT="0" distB="0" distL="0" distR="0" wp14:anchorId="4E9E017A" wp14:editId="4E9E017B">
            <wp:extent cx="5727700" cy="3042920"/>
            <wp:effectExtent l="0" t="0" r="0" b="0"/>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E9E0011" w14:textId="77777777" w:rsidR="006D68D4" w:rsidRPr="009E0050" w:rsidRDefault="006D68D4" w:rsidP="006D68D4">
      <w:pPr>
        <w:rPr>
          <w:rFonts w:cs="Calibri"/>
        </w:rPr>
      </w:pPr>
      <w:r w:rsidRPr="009E0050">
        <w:rPr>
          <w:rFonts w:cs="Calibri"/>
        </w:rPr>
        <w:t xml:space="preserve">Fifty two (52%) percent of the HHs interviewed reported cleaning their containers every time their used them for collecting water. Another 31% said they washed their containers at least once a week and 15% said they washed their containers at least once a month. On the other hand, 1% said that they washed their containers at least once a year and another 1% said they never washed their containers as indicated in the figure 3 above. The survey </w:t>
      </w:r>
      <w:r w:rsidR="00D531CE" w:rsidRPr="009E0050">
        <w:rPr>
          <w:rFonts w:cs="Calibri"/>
        </w:rPr>
        <w:t>analyzed</w:t>
      </w:r>
      <w:r w:rsidRPr="009E0050">
        <w:rPr>
          <w:rFonts w:cs="Calibri"/>
        </w:rPr>
        <w:t xml:space="preserve"> the above findings per location and the findings are presented in table 4 below:</w:t>
      </w:r>
    </w:p>
    <w:p w14:paraId="4E9E0012" w14:textId="77777777" w:rsidR="006D68D4" w:rsidRPr="009E0050" w:rsidRDefault="006D68D4" w:rsidP="006D68D4">
      <w:pPr>
        <w:pStyle w:val="Heading2"/>
        <w:rPr>
          <w:rFonts w:cs="Calibri"/>
          <w:szCs w:val="22"/>
        </w:rPr>
      </w:pPr>
      <w:bookmarkStart w:id="26" w:name="_Toc29286296"/>
      <w:r w:rsidRPr="009E0050">
        <w:rPr>
          <w:rFonts w:cs="Calibri"/>
          <w:szCs w:val="22"/>
        </w:rPr>
        <w:t>Table 4: Frequency of Cleaning Water Storage Containers</w:t>
      </w:r>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
        <w:gridCol w:w="1317"/>
        <w:gridCol w:w="1555"/>
        <w:gridCol w:w="1385"/>
        <w:gridCol w:w="1385"/>
        <w:gridCol w:w="1385"/>
        <w:gridCol w:w="1387"/>
      </w:tblGrid>
      <w:tr w:rsidR="006D68D4" w:rsidRPr="009E0050" w14:paraId="4E9E001A" w14:textId="77777777" w:rsidTr="00FF7866">
        <w:trPr>
          <w:trHeight w:val="305"/>
        </w:trPr>
        <w:tc>
          <w:tcPr>
            <w:tcW w:w="607" w:type="pct"/>
            <w:shd w:val="clear" w:color="000000" w:fill="C5D9F1"/>
            <w:vAlign w:val="center"/>
            <w:hideMark/>
          </w:tcPr>
          <w:p w14:paraId="4E9E0013"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Location</w:t>
            </w:r>
          </w:p>
        </w:tc>
        <w:tc>
          <w:tcPr>
            <w:tcW w:w="688" w:type="pct"/>
            <w:shd w:val="clear" w:color="000000" w:fill="C5D9F1"/>
            <w:vAlign w:val="center"/>
          </w:tcPr>
          <w:p w14:paraId="4E9E0014"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Every time we use them</w:t>
            </w:r>
          </w:p>
        </w:tc>
        <w:tc>
          <w:tcPr>
            <w:tcW w:w="812" w:type="pct"/>
            <w:shd w:val="clear" w:color="000000" w:fill="C5D9F1"/>
            <w:vAlign w:val="center"/>
          </w:tcPr>
          <w:p w14:paraId="4E9E0015"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At least once a week</w:t>
            </w:r>
          </w:p>
        </w:tc>
        <w:tc>
          <w:tcPr>
            <w:tcW w:w="723" w:type="pct"/>
            <w:shd w:val="clear" w:color="000000" w:fill="C5D9F1"/>
            <w:vAlign w:val="center"/>
          </w:tcPr>
          <w:p w14:paraId="4E9E0016"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At least once a month</w:t>
            </w:r>
          </w:p>
        </w:tc>
        <w:tc>
          <w:tcPr>
            <w:tcW w:w="723" w:type="pct"/>
            <w:shd w:val="clear" w:color="000000" w:fill="C5D9F1"/>
          </w:tcPr>
          <w:p w14:paraId="4E9E0017"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Never or less than once a year</w:t>
            </w:r>
          </w:p>
        </w:tc>
        <w:tc>
          <w:tcPr>
            <w:tcW w:w="723" w:type="pct"/>
            <w:shd w:val="clear" w:color="000000" w:fill="C5D9F1"/>
          </w:tcPr>
          <w:p w14:paraId="4E9E0018"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At least once a year</w:t>
            </w:r>
          </w:p>
        </w:tc>
        <w:tc>
          <w:tcPr>
            <w:tcW w:w="724" w:type="pct"/>
            <w:shd w:val="clear" w:color="000000" w:fill="C5D9F1"/>
          </w:tcPr>
          <w:p w14:paraId="4E9E0019"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Don’t know</w:t>
            </w:r>
          </w:p>
        </w:tc>
      </w:tr>
      <w:tr w:rsidR="006D68D4" w:rsidRPr="009E0050" w14:paraId="4E9E0022" w14:textId="77777777" w:rsidTr="00FF7866">
        <w:trPr>
          <w:trHeight w:val="315"/>
        </w:trPr>
        <w:tc>
          <w:tcPr>
            <w:tcW w:w="607" w:type="pct"/>
            <w:shd w:val="clear" w:color="auto" w:fill="auto"/>
            <w:noWrap/>
            <w:vAlign w:val="center"/>
            <w:hideMark/>
          </w:tcPr>
          <w:p w14:paraId="4E9E001B"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Kakuma 1</w:t>
            </w:r>
          </w:p>
        </w:tc>
        <w:tc>
          <w:tcPr>
            <w:tcW w:w="688" w:type="pct"/>
            <w:shd w:val="clear" w:color="000000" w:fill="FCD5B4"/>
            <w:vAlign w:val="center"/>
          </w:tcPr>
          <w:p w14:paraId="4E9E001C"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50%</w:t>
            </w:r>
          </w:p>
        </w:tc>
        <w:tc>
          <w:tcPr>
            <w:tcW w:w="812" w:type="pct"/>
            <w:shd w:val="clear" w:color="000000" w:fill="E6B8B7"/>
            <w:vAlign w:val="center"/>
          </w:tcPr>
          <w:p w14:paraId="4E9E001D"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31%</w:t>
            </w:r>
          </w:p>
        </w:tc>
        <w:tc>
          <w:tcPr>
            <w:tcW w:w="723" w:type="pct"/>
            <w:shd w:val="clear" w:color="000000" w:fill="D8E4BC"/>
            <w:noWrap/>
            <w:vAlign w:val="center"/>
          </w:tcPr>
          <w:p w14:paraId="4E9E001E"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16%</w:t>
            </w:r>
          </w:p>
        </w:tc>
        <w:tc>
          <w:tcPr>
            <w:tcW w:w="723" w:type="pct"/>
            <w:shd w:val="clear" w:color="000000" w:fill="D8E4BC"/>
          </w:tcPr>
          <w:p w14:paraId="4E9E001F"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w:t>
            </w:r>
          </w:p>
        </w:tc>
        <w:tc>
          <w:tcPr>
            <w:tcW w:w="723" w:type="pct"/>
            <w:shd w:val="clear" w:color="000000" w:fill="D8E4BC"/>
          </w:tcPr>
          <w:p w14:paraId="4E9E0020"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w:t>
            </w:r>
          </w:p>
        </w:tc>
        <w:tc>
          <w:tcPr>
            <w:tcW w:w="724" w:type="pct"/>
            <w:shd w:val="clear" w:color="000000" w:fill="D8E4BC"/>
          </w:tcPr>
          <w:p w14:paraId="4E9E0021"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w:t>
            </w:r>
          </w:p>
        </w:tc>
      </w:tr>
      <w:tr w:rsidR="006D68D4" w:rsidRPr="009E0050" w14:paraId="4E9E002A" w14:textId="77777777" w:rsidTr="00FF7866">
        <w:trPr>
          <w:trHeight w:val="315"/>
        </w:trPr>
        <w:tc>
          <w:tcPr>
            <w:tcW w:w="607" w:type="pct"/>
            <w:shd w:val="clear" w:color="auto" w:fill="auto"/>
            <w:noWrap/>
            <w:vAlign w:val="center"/>
            <w:hideMark/>
          </w:tcPr>
          <w:p w14:paraId="4E9E0023"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Kakuma 2</w:t>
            </w:r>
          </w:p>
        </w:tc>
        <w:tc>
          <w:tcPr>
            <w:tcW w:w="688" w:type="pct"/>
            <w:shd w:val="clear" w:color="000000" w:fill="FCD5B4"/>
            <w:vAlign w:val="center"/>
          </w:tcPr>
          <w:p w14:paraId="4E9E0024"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62%</w:t>
            </w:r>
          </w:p>
        </w:tc>
        <w:tc>
          <w:tcPr>
            <w:tcW w:w="812" w:type="pct"/>
            <w:shd w:val="clear" w:color="000000" w:fill="E6B8B7"/>
            <w:vAlign w:val="center"/>
          </w:tcPr>
          <w:p w14:paraId="4E9E0025"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30%</w:t>
            </w:r>
          </w:p>
        </w:tc>
        <w:tc>
          <w:tcPr>
            <w:tcW w:w="723" w:type="pct"/>
            <w:shd w:val="clear" w:color="000000" w:fill="D8E4BC"/>
            <w:noWrap/>
            <w:vAlign w:val="center"/>
          </w:tcPr>
          <w:p w14:paraId="4E9E0026"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7%</w:t>
            </w:r>
          </w:p>
        </w:tc>
        <w:tc>
          <w:tcPr>
            <w:tcW w:w="723" w:type="pct"/>
            <w:shd w:val="clear" w:color="000000" w:fill="D8E4BC"/>
          </w:tcPr>
          <w:p w14:paraId="4E9E0027"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w:t>
            </w:r>
          </w:p>
        </w:tc>
        <w:tc>
          <w:tcPr>
            <w:tcW w:w="723" w:type="pct"/>
            <w:shd w:val="clear" w:color="000000" w:fill="D8E4BC"/>
          </w:tcPr>
          <w:p w14:paraId="4E9E0028"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0%</w:t>
            </w:r>
          </w:p>
        </w:tc>
        <w:tc>
          <w:tcPr>
            <w:tcW w:w="724" w:type="pct"/>
            <w:shd w:val="clear" w:color="000000" w:fill="D8E4BC"/>
          </w:tcPr>
          <w:p w14:paraId="4E9E0029"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w:t>
            </w:r>
          </w:p>
        </w:tc>
      </w:tr>
      <w:tr w:rsidR="006D68D4" w:rsidRPr="009E0050" w14:paraId="4E9E0032" w14:textId="77777777" w:rsidTr="00FF7866">
        <w:trPr>
          <w:trHeight w:val="315"/>
        </w:trPr>
        <w:tc>
          <w:tcPr>
            <w:tcW w:w="607" w:type="pct"/>
            <w:shd w:val="clear" w:color="auto" w:fill="auto"/>
            <w:noWrap/>
            <w:vAlign w:val="center"/>
            <w:hideMark/>
          </w:tcPr>
          <w:p w14:paraId="4E9E002B"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Kakuma 3</w:t>
            </w:r>
          </w:p>
        </w:tc>
        <w:tc>
          <w:tcPr>
            <w:tcW w:w="688" w:type="pct"/>
            <w:shd w:val="clear" w:color="000000" w:fill="FCD5B4"/>
            <w:vAlign w:val="center"/>
          </w:tcPr>
          <w:p w14:paraId="4E9E002C"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53%</w:t>
            </w:r>
          </w:p>
        </w:tc>
        <w:tc>
          <w:tcPr>
            <w:tcW w:w="812" w:type="pct"/>
            <w:shd w:val="clear" w:color="000000" w:fill="E6B8B7"/>
            <w:vAlign w:val="center"/>
          </w:tcPr>
          <w:p w14:paraId="4E9E002D"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31%</w:t>
            </w:r>
          </w:p>
        </w:tc>
        <w:tc>
          <w:tcPr>
            <w:tcW w:w="723" w:type="pct"/>
            <w:shd w:val="clear" w:color="000000" w:fill="D8E4BC"/>
            <w:noWrap/>
            <w:vAlign w:val="center"/>
          </w:tcPr>
          <w:p w14:paraId="4E9E002E"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13%</w:t>
            </w:r>
          </w:p>
        </w:tc>
        <w:tc>
          <w:tcPr>
            <w:tcW w:w="723" w:type="pct"/>
            <w:shd w:val="clear" w:color="000000" w:fill="D8E4BC"/>
          </w:tcPr>
          <w:p w14:paraId="4E9E002F"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2%</w:t>
            </w:r>
          </w:p>
        </w:tc>
        <w:tc>
          <w:tcPr>
            <w:tcW w:w="723" w:type="pct"/>
            <w:shd w:val="clear" w:color="000000" w:fill="D8E4BC"/>
          </w:tcPr>
          <w:p w14:paraId="4E9E0030"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0%</w:t>
            </w:r>
          </w:p>
        </w:tc>
        <w:tc>
          <w:tcPr>
            <w:tcW w:w="724" w:type="pct"/>
            <w:shd w:val="clear" w:color="000000" w:fill="D8E4BC"/>
          </w:tcPr>
          <w:p w14:paraId="4E9E0031"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0%</w:t>
            </w:r>
          </w:p>
        </w:tc>
      </w:tr>
      <w:tr w:rsidR="006D68D4" w:rsidRPr="009E0050" w14:paraId="4E9E003A" w14:textId="77777777" w:rsidTr="00FF7866">
        <w:trPr>
          <w:trHeight w:val="315"/>
        </w:trPr>
        <w:tc>
          <w:tcPr>
            <w:tcW w:w="607" w:type="pct"/>
            <w:shd w:val="clear" w:color="auto" w:fill="auto"/>
            <w:noWrap/>
            <w:vAlign w:val="center"/>
            <w:hideMark/>
          </w:tcPr>
          <w:p w14:paraId="4E9E0033"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Kakuma 4</w:t>
            </w:r>
          </w:p>
        </w:tc>
        <w:tc>
          <w:tcPr>
            <w:tcW w:w="688" w:type="pct"/>
            <w:shd w:val="clear" w:color="000000" w:fill="FCD5B4"/>
            <w:vAlign w:val="center"/>
          </w:tcPr>
          <w:p w14:paraId="4E9E0034"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46%</w:t>
            </w:r>
          </w:p>
        </w:tc>
        <w:tc>
          <w:tcPr>
            <w:tcW w:w="812" w:type="pct"/>
            <w:shd w:val="clear" w:color="000000" w:fill="E6B8B7"/>
            <w:vAlign w:val="center"/>
          </w:tcPr>
          <w:p w14:paraId="4E9E0035"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20%</w:t>
            </w:r>
          </w:p>
        </w:tc>
        <w:tc>
          <w:tcPr>
            <w:tcW w:w="723" w:type="pct"/>
            <w:shd w:val="clear" w:color="000000" w:fill="D8E4BC"/>
            <w:noWrap/>
            <w:vAlign w:val="center"/>
          </w:tcPr>
          <w:p w14:paraId="4E9E0036"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31%</w:t>
            </w:r>
          </w:p>
        </w:tc>
        <w:tc>
          <w:tcPr>
            <w:tcW w:w="723" w:type="pct"/>
            <w:shd w:val="clear" w:color="000000" w:fill="D8E4BC"/>
          </w:tcPr>
          <w:p w14:paraId="4E9E0037"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w:t>
            </w:r>
          </w:p>
        </w:tc>
        <w:tc>
          <w:tcPr>
            <w:tcW w:w="723" w:type="pct"/>
            <w:shd w:val="clear" w:color="000000" w:fill="D8E4BC"/>
          </w:tcPr>
          <w:p w14:paraId="4E9E0038"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w:t>
            </w:r>
          </w:p>
        </w:tc>
        <w:tc>
          <w:tcPr>
            <w:tcW w:w="724" w:type="pct"/>
            <w:shd w:val="clear" w:color="000000" w:fill="D8E4BC"/>
          </w:tcPr>
          <w:p w14:paraId="4E9E0039"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w:t>
            </w:r>
          </w:p>
        </w:tc>
      </w:tr>
      <w:tr w:rsidR="006D68D4" w:rsidRPr="009E0050" w14:paraId="4E9E0042" w14:textId="77777777" w:rsidTr="00FF7866">
        <w:trPr>
          <w:trHeight w:val="315"/>
        </w:trPr>
        <w:tc>
          <w:tcPr>
            <w:tcW w:w="607" w:type="pct"/>
            <w:shd w:val="clear" w:color="auto" w:fill="auto"/>
            <w:noWrap/>
            <w:vAlign w:val="center"/>
            <w:hideMark/>
          </w:tcPr>
          <w:p w14:paraId="4E9E003B"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Kalobeyei</w:t>
            </w:r>
          </w:p>
        </w:tc>
        <w:tc>
          <w:tcPr>
            <w:tcW w:w="688" w:type="pct"/>
            <w:shd w:val="clear" w:color="000000" w:fill="FCD5B4"/>
            <w:vAlign w:val="center"/>
          </w:tcPr>
          <w:p w14:paraId="4E9E003C"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47%</w:t>
            </w:r>
          </w:p>
        </w:tc>
        <w:tc>
          <w:tcPr>
            <w:tcW w:w="812" w:type="pct"/>
            <w:shd w:val="clear" w:color="000000" w:fill="E6B8B7"/>
            <w:vAlign w:val="center"/>
          </w:tcPr>
          <w:p w14:paraId="4E9E003D"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36%</w:t>
            </w:r>
          </w:p>
        </w:tc>
        <w:tc>
          <w:tcPr>
            <w:tcW w:w="723" w:type="pct"/>
            <w:shd w:val="clear" w:color="000000" w:fill="D8E4BC"/>
            <w:noWrap/>
            <w:vAlign w:val="center"/>
          </w:tcPr>
          <w:p w14:paraId="4E9E003E"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14%</w:t>
            </w:r>
          </w:p>
        </w:tc>
        <w:tc>
          <w:tcPr>
            <w:tcW w:w="723" w:type="pct"/>
            <w:shd w:val="clear" w:color="000000" w:fill="D8E4BC"/>
          </w:tcPr>
          <w:p w14:paraId="4E9E003F"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3%</w:t>
            </w:r>
          </w:p>
        </w:tc>
        <w:tc>
          <w:tcPr>
            <w:tcW w:w="723" w:type="pct"/>
            <w:shd w:val="clear" w:color="000000" w:fill="D8E4BC"/>
          </w:tcPr>
          <w:p w14:paraId="4E9E0040"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1%</w:t>
            </w:r>
          </w:p>
        </w:tc>
        <w:tc>
          <w:tcPr>
            <w:tcW w:w="724" w:type="pct"/>
            <w:shd w:val="clear" w:color="000000" w:fill="D8E4BC"/>
          </w:tcPr>
          <w:p w14:paraId="4E9E0041" w14:textId="77777777" w:rsidR="006D68D4" w:rsidRPr="009E0050" w:rsidRDefault="006D68D4" w:rsidP="00FF7866">
            <w:pPr>
              <w:spacing w:after="0" w:line="240" w:lineRule="auto"/>
              <w:jc w:val="center"/>
              <w:rPr>
                <w:rFonts w:eastAsia="Times New Roman" w:cs="Calibri"/>
                <w:color w:val="000000"/>
                <w:lang w:eastAsia="en-GB"/>
              </w:rPr>
            </w:pPr>
            <w:r w:rsidRPr="009E0050">
              <w:rPr>
                <w:rFonts w:eastAsia="Times New Roman" w:cs="Calibri"/>
                <w:color w:val="000000"/>
                <w:lang w:eastAsia="en-GB"/>
              </w:rPr>
              <w:t>0%</w:t>
            </w:r>
          </w:p>
        </w:tc>
      </w:tr>
    </w:tbl>
    <w:p w14:paraId="4E9E0043" w14:textId="77777777" w:rsidR="006D68D4" w:rsidRPr="009E0050" w:rsidRDefault="006D68D4" w:rsidP="006D68D4">
      <w:pPr>
        <w:rPr>
          <w:rFonts w:cs="Calibri"/>
        </w:rPr>
      </w:pPr>
    </w:p>
    <w:p w14:paraId="4E9E0044" w14:textId="77777777" w:rsidR="006D68D4" w:rsidRPr="009E0050" w:rsidRDefault="006D68D4" w:rsidP="006D68D4">
      <w:pPr>
        <w:pStyle w:val="Heading2"/>
        <w:rPr>
          <w:rFonts w:cs="Calibri"/>
          <w:szCs w:val="22"/>
        </w:rPr>
      </w:pPr>
      <w:bookmarkStart w:id="27" w:name="_Toc29286297"/>
      <w:r w:rsidRPr="009E0050">
        <w:rPr>
          <w:rFonts w:cs="Calibri"/>
          <w:szCs w:val="22"/>
        </w:rPr>
        <w:lastRenderedPageBreak/>
        <w:t>Method of Cleaning Containers</w:t>
      </w:r>
      <w:bookmarkEnd w:id="27"/>
    </w:p>
    <w:p w14:paraId="4E9E0045" w14:textId="77777777" w:rsidR="006D68D4" w:rsidRPr="009E0050" w:rsidRDefault="006D68D4" w:rsidP="006D68D4">
      <w:pPr>
        <w:pStyle w:val="Heading2"/>
        <w:rPr>
          <w:rFonts w:cs="Calibri"/>
          <w:szCs w:val="22"/>
        </w:rPr>
      </w:pPr>
      <w:bookmarkStart w:id="28" w:name="_Toc29286298"/>
      <w:r w:rsidRPr="009E0050">
        <w:rPr>
          <w:rFonts w:cs="Calibri"/>
          <w:szCs w:val="22"/>
        </w:rPr>
        <w:t>Figure 4: Method of Cleaning Containers</w:t>
      </w:r>
      <w:bookmarkEnd w:id="28"/>
    </w:p>
    <w:p w14:paraId="4E9E0046" w14:textId="77777777" w:rsidR="008B739D" w:rsidRPr="009E0050" w:rsidRDefault="00ED071D" w:rsidP="006D68D4">
      <w:pPr>
        <w:rPr>
          <w:rFonts w:cs="Calibri"/>
          <w:noProof/>
          <w:lang w:val="en-GB" w:eastAsia="en-GB"/>
        </w:rPr>
      </w:pPr>
      <w:r w:rsidRPr="009E0050">
        <w:rPr>
          <w:rFonts w:cs="Calibri"/>
          <w:noProof/>
        </w:rPr>
        <w:drawing>
          <wp:inline distT="0" distB="0" distL="0" distR="0" wp14:anchorId="4E9E017C" wp14:editId="4E9E017D">
            <wp:extent cx="5676265" cy="3553460"/>
            <wp:effectExtent l="0" t="0" r="0" b="0"/>
            <wp:docPr id="8"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E9E0047" w14:textId="77777777" w:rsidR="006D68D4" w:rsidRPr="009E0050" w:rsidRDefault="006D68D4" w:rsidP="006D68D4">
      <w:pPr>
        <w:rPr>
          <w:rFonts w:cs="Calibri"/>
        </w:rPr>
      </w:pPr>
      <w:r w:rsidRPr="009E0050">
        <w:rPr>
          <w:rFonts w:cs="Calibri"/>
        </w:rPr>
        <w:t>The figure 4 above shows survey findings where 70% of the households interviewed reported cleaning their containers using a cleaning detergent and 21% said they rinsed their containers with water only and another 8% used rocks and sand with water. The other 1% used a piece of sponge or tissue to clean their water collection containers. In Kakuma 1, 70% said they used water with a cleaning detergent, 24 used water only and 6% used rocks and sand with water to clean their containers. In Kakuma 2, 59% of the households used detergent with water, 21% used water only, 16% said they used rocks and sand with water and the other 3% used sponge or tissue to clean their containers. In Kakuma 3, survey findings show that 73% of the households use water with a cleaning detergent, 15% used water only, 8% used rocks with sand and water as 3% used a sponge or tissue. From Kakuma 4, the findings indicated that 63% of the households cleaned their water collection containers using soap and water, 32% used only water and 4% used rocks and sand with water as 1% used a sponge or tissue. The respondents in Kalobeyei reported that they cleaned their water collection containers using; water and soap detergent by 82%, water only by 14% and water with rocks and sand by 4%.</w:t>
      </w:r>
    </w:p>
    <w:p w14:paraId="4E9E0048" w14:textId="77777777" w:rsidR="006D68D4" w:rsidRPr="009E0050" w:rsidRDefault="006D68D4" w:rsidP="006D68D4">
      <w:pPr>
        <w:pStyle w:val="Heading2"/>
        <w:rPr>
          <w:rFonts w:cs="Calibri"/>
          <w:szCs w:val="22"/>
        </w:rPr>
      </w:pPr>
      <w:bookmarkStart w:id="29" w:name="_Toc29286299"/>
      <w:r w:rsidRPr="009E0050">
        <w:rPr>
          <w:rFonts w:cs="Calibri"/>
          <w:szCs w:val="22"/>
        </w:rPr>
        <w:lastRenderedPageBreak/>
        <w:t>Water Treatment Practices</w:t>
      </w:r>
      <w:bookmarkEnd w:id="29"/>
    </w:p>
    <w:p w14:paraId="4E9E0049" w14:textId="77777777" w:rsidR="006D68D4" w:rsidRPr="009E0050" w:rsidRDefault="006D68D4" w:rsidP="006D68D4">
      <w:pPr>
        <w:pStyle w:val="Heading2"/>
        <w:rPr>
          <w:rFonts w:cs="Calibri"/>
          <w:szCs w:val="22"/>
        </w:rPr>
      </w:pPr>
      <w:bookmarkStart w:id="30" w:name="_Toc29286300"/>
      <w:r w:rsidRPr="009E0050">
        <w:rPr>
          <w:rFonts w:cs="Calibri"/>
          <w:szCs w:val="22"/>
        </w:rPr>
        <w:t>Figure 5: Water Treatment Practices</w:t>
      </w:r>
      <w:bookmarkEnd w:id="30"/>
    </w:p>
    <w:p w14:paraId="4E9E004A" w14:textId="77777777" w:rsidR="006D68D4" w:rsidRPr="009E0050" w:rsidRDefault="00ED071D" w:rsidP="006D68D4">
      <w:pPr>
        <w:rPr>
          <w:rFonts w:cs="Calibri"/>
        </w:rPr>
      </w:pPr>
      <w:r w:rsidRPr="009E0050">
        <w:rPr>
          <w:rFonts w:cs="Calibri"/>
          <w:noProof/>
        </w:rPr>
        <w:drawing>
          <wp:inline distT="0" distB="0" distL="0" distR="0" wp14:anchorId="4E9E017E" wp14:editId="4E9E017F">
            <wp:extent cx="5917565" cy="3345180"/>
            <wp:effectExtent l="0" t="0" r="0" b="0"/>
            <wp:docPr id="9" name="Chart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E9E004B" w14:textId="77777777" w:rsidR="006D68D4" w:rsidRPr="009E0050" w:rsidRDefault="006D68D4" w:rsidP="006D68D4">
      <w:pPr>
        <w:rPr>
          <w:rFonts w:cs="Calibri"/>
        </w:rPr>
      </w:pPr>
      <w:r w:rsidRPr="009E0050">
        <w:rPr>
          <w:rFonts w:cs="Calibri"/>
        </w:rPr>
        <w:t>The survey found out as indicated in the figure 5 above that 50% of the households did not treat their water before consumption {63% in Kakuma 1, 51% in Kakuma 2, 47% in Kakuma 3 and 4 respectively and 22% in Kalobeyei settlement}. Forty one percent (41%) reported that they treated their water every time before drinking it {29% in Kakuma 1, 40% in Kakuma 2, 47% in Kakuma 3, 18% in Kakuma 4 and 63% in Kalobeyei}. Those who reported treating their water sometimes whenever they want to drink represented 9% of the households interviewed {7% in Kakuma 1, 9% in Kakuma 2, 5% in Kakuma 3, 18% in Kakuma 4 and 15% in Kalobeyei}.</w:t>
      </w:r>
    </w:p>
    <w:p w14:paraId="4E9E004C" w14:textId="77777777" w:rsidR="006D68D4" w:rsidRPr="009E0050" w:rsidRDefault="006D68D4" w:rsidP="006D68D4">
      <w:pPr>
        <w:pStyle w:val="Heading2"/>
        <w:rPr>
          <w:rFonts w:cs="Calibri"/>
          <w:szCs w:val="22"/>
        </w:rPr>
      </w:pPr>
      <w:bookmarkStart w:id="31" w:name="_Toc29286301"/>
      <w:r w:rsidRPr="009E0050">
        <w:rPr>
          <w:rFonts w:cs="Calibri"/>
          <w:szCs w:val="22"/>
        </w:rPr>
        <w:lastRenderedPageBreak/>
        <w:t>Water Treatment Methods</w:t>
      </w:r>
      <w:bookmarkEnd w:id="31"/>
    </w:p>
    <w:p w14:paraId="4E9E004D" w14:textId="77777777" w:rsidR="006D68D4" w:rsidRPr="009E0050" w:rsidRDefault="006D68D4" w:rsidP="006D68D4">
      <w:pPr>
        <w:pStyle w:val="Heading2"/>
        <w:rPr>
          <w:rFonts w:cs="Calibri"/>
          <w:szCs w:val="22"/>
        </w:rPr>
      </w:pPr>
      <w:bookmarkStart w:id="32" w:name="_Toc29286302"/>
      <w:r w:rsidRPr="009E0050">
        <w:rPr>
          <w:rFonts w:cs="Calibri"/>
          <w:szCs w:val="22"/>
        </w:rPr>
        <w:t>Figure 6: Water Treatment Methods</w:t>
      </w:r>
      <w:bookmarkEnd w:id="32"/>
    </w:p>
    <w:p w14:paraId="4E9E004E" w14:textId="77777777" w:rsidR="006D68D4" w:rsidRPr="009E0050" w:rsidRDefault="00ED071D" w:rsidP="006D68D4">
      <w:pPr>
        <w:rPr>
          <w:rFonts w:cs="Calibri"/>
        </w:rPr>
      </w:pPr>
      <w:r w:rsidRPr="009E0050">
        <w:rPr>
          <w:rFonts w:cs="Calibri"/>
          <w:noProof/>
        </w:rPr>
        <w:drawing>
          <wp:inline distT="0" distB="0" distL="0" distR="0" wp14:anchorId="4E9E0180" wp14:editId="4E9E0181">
            <wp:extent cx="5727700" cy="3042920"/>
            <wp:effectExtent l="0" t="0" r="0" b="0"/>
            <wp:docPr id="10" name="Chart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E9E004F" w14:textId="77777777" w:rsidR="006D68D4" w:rsidRPr="009E0050" w:rsidRDefault="00C96A0B" w:rsidP="006D68D4">
      <w:pPr>
        <w:rPr>
          <w:rFonts w:cs="Calibri"/>
        </w:rPr>
      </w:pPr>
      <w:r w:rsidRPr="000F47B9">
        <w:rPr>
          <w:rFonts w:cs="Calibri"/>
          <w:noProof/>
        </w:rPr>
        <w:drawing>
          <wp:anchor distT="0" distB="0" distL="114300" distR="114300" simplePos="0" relativeHeight="251672576" behindDoc="0" locked="0" layoutInCell="1" allowOverlap="1" wp14:anchorId="4E9E0182" wp14:editId="4E9E0183">
            <wp:simplePos x="0" y="0"/>
            <wp:positionH relativeFrom="column">
              <wp:posOffset>-515</wp:posOffset>
            </wp:positionH>
            <wp:positionV relativeFrom="paragraph">
              <wp:posOffset>56575</wp:posOffset>
            </wp:positionV>
            <wp:extent cx="1837055" cy="1436370"/>
            <wp:effectExtent l="0" t="0" r="0" b="0"/>
            <wp:wrapThrough wrapText="bothSides">
              <wp:wrapPolygon edited="0">
                <wp:start x="0" y="0"/>
                <wp:lineTo x="0" y="21199"/>
                <wp:lineTo x="21279" y="21199"/>
                <wp:lineTo x="21279" y="0"/>
                <wp:lineTo x="0" y="0"/>
              </wp:wrapPolygon>
            </wp:wrapThrough>
            <wp:docPr id="32" name="Picture 32" descr="C:\Users\M&amp;E\Desktop\Wa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mp;E\Desktop\Water.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37055" cy="1436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D68D4" w:rsidRPr="009E0050">
        <w:rPr>
          <w:rFonts w:cs="Calibri"/>
        </w:rPr>
        <w:t>Water was boiled by 58% of the households interviewed {Kakuma 1 (44%), Kakuma 2 (33%), Kakuma 3 (60%), Kakuma 4 (59%) and Kalobeyei (84%)}. Forty four percent (44%) of the households {Kakuma 1 (41%), Kakuma 2 (67%), Kakuma 3 (12%), Kakuma 4 (49%) and Kalobeyei (25%)} reported leaving the water to stand and settle. Another 12% of the households {Kakuma 1 (17%), Kakuma 2 (4%), Kakuma 3 (12%), Kakuma 4 (4%) and Kalobeyei (15%)} reported that they used disinfectants to treat their water before drinking. Further, 9% {Kakuma 1 (16%), Kakuma 3 (12%) and Kalobeyei (7%) reported exposing their water to sunlight as a mode of treatment for their drinking water. Less than 1% {Kalobeyei 2%} reported filtering and using other means to clean their water. On the other hand, 2% {Kakuma 1 (3%), Kakuma 4 (4%)} could not describe what they do to treat their water before drinking.</w:t>
      </w:r>
    </w:p>
    <w:p w14:paraId="4E9E0050" w14:textId="77777777" w:rsidR="006D68D4" w:rsidRPr="009E0050" w:rsidRDefault="006D68D4" w:rsidP="006D68D4">
      <w:pPr>
        <w:rPr>
          <w:rFonts w:cs="Calibri"/>
        </w:rPr>
      </w:pPr>
      <w:r w:rsidRPr="009E0050">
        <w:rPr>
          <w:rFonts w:cs="Calibri"/>
        </w:rPr>
        <w:t>The survey further found out that of those using disinfectants to treat their water, 80% used Aquatabs and other water purification tablets, 16% used granular or powder chlorine and 4% used liquid chlorine.</w:t>
      </w:r>
      <w:r w:rsidR="000F47B9">
        <w:rPr>
          <w:rFonts w:cs="Calibri"/>
        </w:rPr>
        <w:t xml:space="preserve"> </w:t>
      </w:r>
      <w:r w:rsidRPr="009E0050">
        <w:rPr>
          <w:rFonts w:cs="Calibri"/>
        </w:rPr>
        <w:t>Fifty percent (50%) of those who used filters said they used candle/bucket filters and the other 50% said they used other types of filters.</w:t>
      </w:r>
    </w:p>
    <w:p w14:paraId="4E9E0051" w14:textId="77777777" w:rsidR="000F47B9" w:rsidRDefault="006D68D4" w:rsidP="006D68D4">
      <w:pPr>
        <w:rPr>
          <w:rFonts w:cs="Calibri"/>
        </w:rPr>
      </w:pPr>
      <w:r w:rsidRPr="009E0050">
        <w:rPr>
          <w:rFonts w:cs="Calibri"/>
        </w:rPr>
        <w:lastRenderedPageBreak/>
        <w:t xml:space="preserve">The findings show that although a larger number of the households at 36% could not recall the last time drinking water was treated in their households, another 37% reported that water was treated the same day they were interviewed, 15% reported that their drinking water was treated two days before the survey and the other 12% reported that their households had treated water the previous day. </w:t>
      </w:r>
    </w:p>
    <w:p w14:paraId="4E9E0052" w14:textId="77777777" w:rsidR="000F47B9" w:rsidRDefault="000F47B9">
      <w:pPr>
        <w:spacing w:after="0" w:line="240" w:lineRule="auto"/>
        <w:jc w:val="left"/>
        <w:rPr>
          <w:rFonts w:cs="Calibri"/>
        </w:rPr>
      </w:pPr>
      <w:r>
        <w:rPr>
          <w:rFonts w:cs="Calibri"/>
        </w:rPr>
        <w:br w:type="page"/>
      </w:r>
    </w:p>
    <w:p w14:paraId="4E9E0053" w14:textId="77777777" w:rsidR="006D68D4" w:rsidRPr="009E0050" w:rsidRDefault="006D68D4" w:rsidP="006D68D4">
      <w:pPr>
        <w:pStyle w:val="Heading2"/>
        <w:rPr>
          <w:rFonts w:cs="Calibri"/>
          <w:szCs w:val="22"/>
        </w:rPr>
      </w:pPr>
      <w:bookmarkStart w:id="33" w:name="_Toc29286303"/>
      <w:r w:rsidRPr="009E0050">
        <w:rPr>
          <w:rFonts w:cs="Calibri"/>
          <w:szCs w:val="22"/>
        </w:rPr>
        <w:lastRenderedPageBreak/>
        <w:t>Sanitation and Hygiene</w:t>
      </w:r>
      <w:bookmarkEnd w:id="33"/>
    </w:p>
    <w:p w14:paraId="4E9E0054" w14:textId="77777777" w:rsidR="006D68D4" w:rsidRPr="009E0050" w:rsidRDefault="006D68D4" w:rsidP="006D68D4">
      <w:pPr>
        <w:pStyle w:val="Heading2"/>
        <w:rPr>
          <w:rFonts w:cs="Calibri"/>
          <w:szCs w:val="22"/>
        </w:rPr>
      </w:pPr>
      <w:bookmarkStart w:id="34" w:name="_Toc29286304"/>
      <w:r w:rsidRPr="009E0050">
        <w:rPr>
          <w:rFonts w:cs="Calibri"/>
          <w:szCs w:val="22"/>
        </w:rPr>
        <w:t>Table 5: Sanitation Global Mandatory Indicators</w:t>
      </w:r>
      <w:bookmarkEnd w:id="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2"/>
        <w:gridCol w:w="1187"/>
        <w:gridCol w:w="1187"/>
        <w:gridCol w:w="1187"/>
        <w:gridCol w:w="624"/>
        <w:gridCol w:w="563"/>
        <w:gridCol w:w="1186"/>
      </w:tblGrid>
      <w:tr w:rsidR="006D68D4" w:rsidRPr="009E0050" w14:paraId="4E9E0057" w14:textId="77777777" w:rsidTr="00FF7866">
        <w:trPr>
          <w:trHeight w:val="315"/>
        </w:trPr>
        <w:tc>
          <w:tcPr>
            <w:tcW w:w="4087" w:type="pct"/>
            <w:gridSpan w:val="5"/>
            <w:shd w:val="clear" w:color="000000" w:fill="C5D9F1"/>
            <w:vAlign w:val="center"/>
            <w:hideMark/>
          </w:tcPr>
          <w:p w14:paraId="4E9E0055"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with family latrine/toilet</w:t>
            </w:r>
          </w:p>
        </w:tc>
        <w:tc>
          <w:tcPr>
            <w:tcW w:w="913" w:type="pct"/>
            <w:gridSpan w:val="2"/>
            <w:shd w:val="clear" w:color="000000" w:fill="C4D79B"/>
            <w:noWrap/>
            <w:vAlign w:val="center"/>
            <w:hideMark/>
          </w:tcPr>
          <w:p w14:paraId="4E9E0056"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86.70%</w:t>
            </w:r>
          </w:p>
        </w:tc>
      </w:tr>
      <w:tr w:rsidR="006D68D4" w:rsidRPr="009E0050" w14:paraId="4E9E005A" w14:textId="77777777" w:rsidTr="00FF7866">
        <w:trPr>
          <w:trHeight w:val="315"/>
        </w:trPr>
        <w:tc>
          <w:tcPr>
            <w:tcW w:w="4087" w:type="pct"/>
            <w:gridSpan w:val="5"/>
            <w:shd w:val="clear" w:color="000000" w:fill="C5D9F1"/>
            <w:vAlign w:val="center"/>
            <w:hideMark/>
          </w:tcPr>
          <w:p w14:paraId="4E9E0058"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reporting defecating in a toilet/latrine</w:t>
            </w:r>
          </w:p>
        </w:tc>
        <w:tc>
          <w:tcPr>
            <w:tcW w:w="913" w:type="pct"/>
            <w:gridSpan w:val="2"/>
            <w:shd w:val="clear" w:color="000000" w:fill="C4D79B"/>
            <w:noWrap/>
            <w:vAlign w:val="center"/>
            <w:hideMark/>
          </w:tcPr>
          <w:p w14:paraId="4E9E0059"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87.60%</w:t>
            </w:r>
          </w:p>
        </w:tc>
      </w:tr>
      <w:tr w:rsidR="006D68D4" w:rsidRPr="009E0050" w14:paraId="4E9E005D" w14:textId="77777777" w:rsidTr="00FF7866">
        <w:trPr>
          <w:trHeight w:val="315"/>
        </w:trPr>
        <w:tc>
          <w:tcPr>
            <w:tcW w:w="4087" w:type="pct"/>
            <w:gridSpan w:val="5"/>
            <w:shd w:val="clear" w:color="000000" w:fill="C5D9F1"/>
            <w:vAlign w:val="center"/>
            <w:hideMark/>
          </w:tcPr>
          <w:p w14:paraId="4E9E005B"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xml:space="preserve"> % HHs with access to soap</w:t>
            </w:r>
          </w:p>
        </w:tc>
        <w:tc>
          <w:tcPr>
            <w:tcW w:w="913" w:type="pct"/>
            <w:gridSpan w:val="2"/>
            <w:shd w:val="clear" w:color="000000" w:fill="FCD5B4"/>
            <w:noWrap/>
            <w:vAlign w:val="center"/>
            <w:hideMark/>
          </w:tcPr>
          <w:p w14:paraId="4E9E005C"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82.70%</w:t>
            </w:r>
          </w:p>
        </w:tc>
      </w:tr>
      <w:tr w:rsidR="006D68D4" w:rsidRPr="009E0050" w14:paraId="4E9E0060" w14:textId="77777777" w:rsidTr="00FF7866">
        <w:trPr>
          <w:trHeight w:val="315"/>
        </w:trPr>
        <w:tc>
          <w:tcPr>
            <w:tcW w:w="4087" w:type="pct"/>
            <w:gridSpan w:val="5"/>
            <w:shd w:val="clear" w:color="000000" w:fill="C5D9F1"/>
            <w:vAlign w:val="center"/>
            <w:hideMark/>
          </w:tcPr>
          <w:p w14:paraId="4E9E005E"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with access to solid waste disposal facility</w:t>
            </w:r>
          </w:p>
        </w:tc>
        <w:tc>
          <w:tcPr>
            <w:tcW w:w="913" w:type="pct"/>
            <w:gridSpan w:val="2"/>
            <w:shd w:val="clear" w:color="000000" w:fill="FCD5B4"/>
            <w:noWrap/>
            <w:vAlign w:val="center"/>
            <w:hideMark/>
          </w:tcPr>
          <w:p w14:paraId="4E9E005F"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77.50%</w:t>
            </w:r>
          </w:p>
        </w:tc>
      </w:tr>
      <w:tr w:rsidR="006D68D4" w:rsidRPr="009E0050" w14:paraId="4E9E0063" w14:textId="77777777" w:rsidTr="00FF7866">
        <w:trPr>
          <w:trHeight w:val="239"/>
        </w:trPr>
        <w:tc>
          <w:tcPr>
            <w:tcW w:w="4087" w:type="pct"/>
            <w:gridSpan w:val="5"/>
            <w:shd w:val="clear" w:color="000000" w:fill="C5D9F1"/>
            <w:vAlign w:val="center"/>
            <w:hideMark/>
          </w:tcPr>
          <w:p w14:paraId="4E9E0061"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practicing open defecation. **Includes defecating in the bush at night.</w:t>
            </w:r>
          </w:p>
        </w:tc>
        <w:tc>
          <w:tcPr>
            <w:tcW w:w="913" w:type="pct"/>
            <w:gridSpan w:val="2"/>
            <w:shd w:val="clear" w:color="000000" w:fill="FCD5B4"/>
            <w:vAlign w:val="center"/>
            <w:hideMark/>
          </w:tcPr>
          <w:p w14:paraId="4E9E0062"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14.10%</w:t>
            </w:r>
          </w:p>
        </w:tc>
      </w:tr>
      <w:tr w:rsidR="006D68D4" w:rsidRPr="009E0050" w14:paraId="4E9E0066" w14:textId="77777777" w:rsidTr="00FF7866">
        <w:trPr>
          <w:trHeight w:val="315"/>
        </w:trPr>
        <w:tc>
          <w:tcPr>
            <w:tcW w:w="4087" w:type="pct"/>
            <w:gridSpan w:val="5"/>
            <w:shd w:val="clear" w:color="000000" w:fill="C5D9F1"/>
            <w:vAlign w:val="center"/>
            <w:hideMark/>
          </w:tcPr>
          <w:p w14:paraId="4E9E0064"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having access to a bathing facility</w:t>
            </w:r>
          </w:p>
        </w:tc>
        <w:tc>
          <w:tcPr>
            <w:tcW w:w="913" w:type="pct"/>
            <w:gridSpan w:val="2"/>
            <w:shd w:val="clear" w:color="000000" w:fill="FCD5B4"/>
            <w:vAlign w:val="center"/>
            <w:hideMark/>
          </w:tcPr>
          <w:p w14:paraId="4E9E0065"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17.90%</w:t>
            </w:r>
          </w:p>
        </w:tc>
      </w:tr>
      <w:tr w:rsidR="006D68D4" w:rsidRPr="009E0050" w14:paraId="4E9E006D" w14:textId="77777777" w:rsidTr="00FF7866">
        <w:trPr>
          <w:trHeight w:val="529"/>
        </w:trPr>
        <w:tc>
          <w:tcPr>
            <w:tcW w:w="1901" w:type="pct"/>
            <w:shd w:val="clear" w:color="auto" w:fill="auto"/>
            <w:noWrap/>
            <w:vAlign w:val="center"/>
            <w:hideMark/>
          </w:tcPr>
          <w:p w14:paraId="4E9E0067" w14:textId="77777777" w:rsidR="006D68D4" w:rsidRPr="009E0050" w:rsidRDefault="006D68D4" w:rsidP="00FF7866">
            <w:pPr>
              <w:spacing w:after="0" w:line="240" w:lineRule="auto"/>
              <w:jc w:val="left"/>
              <w:rPr>
                <w:rFonts w:eastAsia="Times New Roman" w:cs="Calibri"/>
                <w:b/>
                <w:color w:val="000000"/>
                <w:lang w:eastAsia="en-GB"/>
              </w:rPr>
            </w:pPr>
            <w:r w:rsidRPr="009E0050">
              <w:rPr>
                <w:rFonts w:eastAsia="Times New Roman" w:cs="Calibri"/>
                <w:b/>
                <w:color w:val="000000"/>
                <w:lang w:eastAsia="en-GB"/>
              </w:rPr>
              <w:t>Location</w:t>
            </w:r>
          </w:p>
        </w:tc>
        <w:tc>
          <w:tcPr>
            <w:tcW w:w="620" w:type="pct"/>
            <w:shd w:val="clear" w:color="auto" w:fill="auto"/>
            <w:noWrap/>
            <w:vAlign w:val="center"/>
            <w:hideMark/>
          </w:tcPr>
          <w:p w14:paraId="4E9E0068" w14:textId="77777777" w:rsidR="006D68D4" w:rsidRPr="009E0050" w:rsidRDefault="006D68D4" w:rsidP="00FF7866">
            <w:pPr>
              <w:spacing w:after="0" w:line="240" w:lineRule="auto"/>
              <w:rPr>
                <w:rFonts w:eastAsia="Times New Roman" w:cs="Calibri"/>
                <w:b/>
                <w:color w:val="000000"/>
                <w:lang w:eastAsia="en-GB"/>
              </w:rPr>
            </w:pPr>
            <w:r w:rsidRPr="009E0050">
              <w:rPr>
                <w:rFonts w:eastAsia="Times New Roman" w:cs="Calibri"/>
                <w:b/>
                <w:color w:val="000000"/>
                <w:lang w:eastAsia="en-GB"/>
              </w:rPr>
              <w:t>Kakuma 1</w:t>
            </w:r>
          </w:p>
        </w:tc>
        <w:tc>
          <w:tcPr>
            <w:tcW w:w="620" w:type="pct"/>
            <w:shd w:val="clear" w:color="auto" w:fill="auto"/>
            <w:noWrap/>
            <w:vAlign w:val="center"/>
            <w:hideMark/>
          </w:tcPr>
          <w:p w14:paraId="4E9E0069" w14:textId="77777777" w:rsidR="006D68D4" w:rsidRPr="009E0050" w:rsidRDefault="006D68D4" w:rsidP="00FF7866">
            <w:pPr>
              <w:spacing w:after="0" w:line="240" w:lineRule="auto"/>
              <w:rPr>
                <w:rFonts w:eastAsia="Times New Roman" w:cs="Calibri"/>
                <w:b/>
                <w:color w:val="000000"/>
                <w:lang w:eastAsia="en-GB"/>
              </w:rPr>
            </w:pPr>
            <w:r w:rsidRPr="009E0050">
              <w:rPr>
                <w:rFonts w:eastAsia="Times New Roman" w:cs="Calibri"/>
                <w:b/>
                <w:color w:val="000000"/>
                <w:lang w:eastAsia="en-GB"/>
              </w:rPr>
              <w:t>Kakuma 2</w:t>
            </w:r>
          </w:p>
        </w:tc>
        <w:tc>
          <w:tcPr>
            <w:tcW w:w="620" w:type="pct"/>
            <w:shd w:val="clear" w:color="auto" w:fill="auto"/>
            <w:noWrap/>
            <w:vAlign w:val="center"/>
            <w:hideMark/>
          </w:tcPr>
          <w:p w14:paraId="4E9E006A" w14:textId="77777777" w:rsidR="006D68D4" w:rsidRPr="009E0050" w:rsidRDefault="006D68D4" w:rsidP="00FF7866">
            <w:pPr>
              <w:spacing w:after="0" w:line="240" w:lineRule="auto"/>
              <w:rPr>
                <w:rFonts w:eastAsia="Times New Roman" w:cs="Calibri"/>
                <w:b/>
                <w:color w:val="000000"/>
                <w:lang w:eastAsia="en-GB"/>
              </w:rPr>
            </w:pPr>
            <w:r w:rsidRPr="009E0050">
              <w:rPr>
                <w:rFonts w:eastAsia="Times New Roman" w:cs="Calibri"/>
                <w:b/>
                <w:color w:val="000000"/>
                <w:lang w:eastAsia="en-GB"/>
              </w:rPr>
              <w:t>Kakuma 3</w:t>
            </w:r>
          </w:p>
        </w:tc>
        <w:tc>
          <w:tcPr>
            <w:tcW w:w="620" w:type="pct"/>
            <w:gridSpan w:val="2"/>
            <w:shd w:val="clear" w:color="auto" w:fill="auto"/>
            <w:noWrap/>
            <w:vAlign w:val="center"/>
            <w:hideMark/>
          </w:tcPr>
          <w:p w14:paraId="4E9E006B" w14:textId="77777777" w:rsidR="006D68D4" w:rsidRPr="009E0050" w:rsidRDefault="006D68D4" w:rsidP="00FF7866">
            <w:pPr>
              <w:spacing w:after="0" w:line="240" w:lineRule="auto"/>
              <w:rPr>
                <w:rFonts w:eastAsia="Times New Roman" w:cs="Calibri"/>
                <w:b/>
                <w:color w:val="000000"/>
                <w:lang w:eastAsia="en-GB"/>
              </w:rPr>
            </w:pPr>
            <w:r w:rsidRPr="009E0050">
              <w:rPr>
                <w:rFonts w:eastAsia="Times New Roman" w:cs="Calibri"/>
                <w:b/>
                <w:color w:val="000000"/>
                <w:lang w:eastAsia="en-GB"/>
              </w:rPr>
              <w:t>Kakuma 4</w:t>
            </w:r>
          </w:p>
        </w:tc>
        <w:tc>
          <w:tcPr>
            <w:tcW w:w="619" w:type="pct"/>
            <w:shd w:val="clear" w:color="auto" w:fill="auto"/>
            <w:noWrap/>
            <w:vAlign w:val="center"/>
            <w:hideMark/>
          </w:tcPr>
          <w:p w14:paraId="4E9E006C" w14:textId="77777777" w:rsidR="006D68D4" w:rsidRPr="009E0050" w:rsidRDefault="006D68D4" w:rsidP="00FF7866">
            <w:pPr>
              <w:spacing w:after="0" w:line="240" w:lineRule="auto"/>
              <w:rPr>
                <w:rFonts w:eastAsia="Times New Roman" w:cs="Calibri"/>
                <w:b/>
                <w:color w:val="000000"/>
                <w:lang w:eastAsia="en-GB"/>
              </w:rPr>
            </w:pPr>
            <w:r w:rsidRPr="009E0050">
              <w:rPr>
                <w:rFonts w:eastAsia="Times New Roman" w:cs="Calibri"/>
                <w:b/>
                <w:color w:val="000000"/>
                <w:lang w:eastAsia="en-GB"/>
              </w:rPr>
              <w:t>Kalobeyei</w:t>
            </w:r>
          </w:p>
        </w:tc>
      </w:tr>
      <w:tr w:rsidR="006D68D4" w:rsidRPr="009E0050" w14:paraId="4E9E0074" w14:textId="77777777" w:rsidTr="00FF7866">
        <w:trPr>
          <w:trHeight w:val="281"/>
        </w:trPr>
        <w:tc>
          <w:tcPr>
            <w:tcW w:w="1901" w:type="pct"/>
            <w:shd w:val="clear" w:color="000000" w:fill="C5D9F1"/>
            <w:vAlign w:val="center"/>
            <w:hideMark/>
          </w:tcPr>
          <w:p w14:paraId="4E9E006E"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with family latrine/toilet</w:t>
            </w:r>
          </w:p>
        </w:tc>
        <w:tc>
          <w:tcPr>
            <w:tcW w:w="620" w:type="pct"/>
            <w:shd w:val="clear" w:color="000000" w:fill="C4D79B"/>
            <w:noWrap/>
            <w:vAlign w:val="center"/>
            <w:hideMark/>
          </w:tcPr>
          <w:p w14:paraId="4E9E006F"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88.70%</w:t>
            </w:r>
          </w:p>
        </w:tc>
        <w:tc>
          <w:tcPr>
            <w:tcW w:w="620" w:type="pct"/>
            <w:shd w:val="clear" w:color="000000" w:fill="C4D79B"/>
            <w:noWrap/>
            <w:vAlign w:val="center"/>
            <w:hideMark/>
          </w:tcPr>
          <w:p w14:paraId="4E9E0070"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94.10%</w:t>
            </w:r>
          </w:p>
        </w:tc>
        <w:tc>
          <w:tcPr>
            <w:tcW w:w="620" w:type="pct"/>
            <w:shd w:val="clear" w:color="000000" w:fill="C4D79B"/>
            <w:noWrap/>
            <w:vAlign w:val="center"/>
            <w:hideMark/>
          </w:tcPr>
          <w:p w14:paraId="4E9E0071"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89.00%</w:t>
            </w:r>
          </w:p>
        </w:tc>
        <w:tc>
          <w:tcPr>
            <w:tcW w:w="620" w:type="pct"/>
            <w:gridSpan w:val="2"/>
            <w:shd w:val="clear" w:color="000000" w:fill="E6B8B7"/>
            <w:noWrap/>
            <w:vAlign w:val="center"/>
            <w:hideMark/>
          </w:tcPr>
          <w:p w14:paraId="4E9E0072"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83.60%</w:t>
            </w:r>
          </w:p>
        </w:tc>
        <w:tc>
          <w:tcPr>
            <w:tcW w:w="619" w:type="pct"/>
            <w:shd w:val="clear" w:color="000000" w:fill="E6B8B7"/>
            <w:noWrap/>
            <w:vAlign w:val="center"/>
            <w:hideMark/>
          </w:tcPr>
          <w:p w14:paraId="4E9E0073"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73.60%</w:t>
            </w:r>
          </w:p>
        </w:tc>
      </w:tr>
      <w:tr w:rsidR="006D68D4" w:rsidRPr="009E0050" w14:paraId="4E9E007B" w14:textId="77777777" w:rsidTr="00FF7866">
        <w:trPr>
          <w:trHeight w:val="554"/>
        </w:trPr>
        <w:tc>
          <w:tcPr>
            <w:tcW w:w="1901" w:type="pct"/>
            <w:shd w:val="clear" w:color="000000" w:fill="C5D9F1"/>
            <w:vAlign w:val="center"/>
            <w:hideMark/>
          </w:tcPr>
          <w:p w14:paraId="4E9E0075"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reporting defecating in a toilet/latrine</w:t>
            </w:r>
          </w:p>
        </w:tc>
        <w:tc>
          <w:tcPr>
            <w:tcW w:w="620" w:type="pct"/>
            <w:shd w:val="clear" w:color="000000" w:fill="C4D79B"/>
            <w:noWrap/>
            <w:vAlign w:val="center"/>
            <w:hideMark/>
          </w:tcPr>
          <w:p w14:paraId="4E9E0076"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89.00%</w:t>
            </w:r>
          </w:p>
        </w:tc>
        <w:tc>
          <w:tcPr>
            <w:tcW w:w="620" w:type="pct"/>
            <w:shd w:val="clear" w:color="000000" w:fill="C4D79B"/>
            <w:noWrap/>
            <w:vAlign w:val="center"/>
            <w:hideMark/>
          </w:tcPr>
          <w:p w14:paraId="4E9E0077"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94.10%</w:t>
            </w:r>
          </w:p>
        </w:tc>
        <w:tc>
          <w:tcPr>
            <w:tcW w:w="620" w:type="pct"/>
            <w:shd w:val="clear" w:color="000000" w:fill="C4D79B"/>
            <w:noWrap/>
            <w:vAlign w:val="center"/>
            <w:hideMark/>
          </w:tcPr>
          <w:p w14:paraId="4E9E0078"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89.80%</w:t>
            </w:r>
          </w:p>
        </w:tc>
        <w:tc>
          <w:tcPr>
            <w:tcW w:w="620" w:type="pct"/>
            <w:gridSpan w:val="2"/>
            <w:shd w:val="clear" w:color="000000" w:fill="FCD5B4"/>
            <w:noWrap/>
            <w:vAlign w:val="center"/>
            <w:hideMark/>
          </w:tcPr>
          <w:p w14:paraId="4E9E0079"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84.50%</w:t>
            </w:r>
          </w:p>
        </w:tc>
        <w:tc>
          <w:tcPr>
            <w:tcW w:w="619" w:type="pct"/>
            <w:shd w:val="clear" w:color="000000" w:fill="FCD5B4"/>
            <w:noWrap/>
            <w:vAlign w:val="center"/>
            <w:hideMark/>
          </w:tcPr>
          <w:p w14:paraId="4E9E007A"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76.40%</w:t>
            </w:r>
          </w:p>
        </w:tc>
      </w:tr>
      <w:tr w:rsidR="006D68D4" w:rsidRPr="009E0050" w14:paraId="4E9E0082" w14:textId="77777777" w:rsidTr="00FF7866">
        <w:trPr>
          <w:trHeight w:val="407"/>
        </w:trPr>
        <w:tc>
          <w:tcPr>
            <w:tcW w:w="1901" w:type="pct"/>
            <w:shd w:val="clear" w:color="000000" w:fill="C5D9F1"/>
            <w:vAlign w:val="center"/>
            <w:hideMark/>
          </w:tcPr>
          <w:p w14:paraId="4E9E007C"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with access to soap</w:t>
            </w:r>
          </w:p>
        </w:tc>
        <w:tc>
          <w:tcPr>
            <w:tcW w:w="620" w:type="pct"/>
            <w:shd w:val="clear" w:color="000000" w:fill="FCD5B4"/>
            <w:noWrap/>
            <w:vAlign w:val="center"/>
            <w:hideMark/>
          </w:tcPr>
          <w:p w14:paraId="4E9E007D"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86.20%</w:t>
            </w:r>
          </w:p>
        </w:tc>
        <w:tc>
          <w:tcPr>
            <w:tcW w:w="620" w:type="pct"/>
            <w:shd w:val="clear" w:color="000000" w:fill="FCD5B4"/>
            <w:noWrap/>
            <w:vAlign w:val="center"/>
            <w:hideMark/>
          </w:tcPr>
          <w:p w14:paraId="4E9E007E"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81.60%</w:t>
            </w:r>
          </w:p>
        </w:tc>
        <w:tc>
          <w:tcPr>
            <w:tcW w:w="620" w:type="pct"/>
            <w:shd w:val="clear" w:color="000000" w:fill="FCD5B4"/>
            <w:noWrap/>
            <w:vAlign w:val="center"/>
            <w:hideMark/>
          </w:tcPr>
          <w:p w14:paraId="4E9E007F"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89.80%</w:t>
            </w:r>
          </w:p>
        </w:tc>
        <w:tc>
          <w:tcPr>
            <w:tcW w:w="620" w:type="pct"/>
            <w:gridSpan w:val="2"/>
            <w:shd w:val="clear" w:color="000000" w:fill="E6B8B7"/>
            <w:noWrap/>
            <w:vAlign w:val="center"/>
            <w:hideMark/>
          </w:tcPr>
          <w:p w14:paraId="4E9E0080"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68.20%</w:t>
            </w:r>
          </w:p>
        </w:tc>
        <w:tc>
          <w:tcPr>
            <w:tcW w:w="619" w:type="pct"/>
            <w:shd w:val="clear" w:color="000000" w:fill="FCD5B4"/>
            <w:noWrap/>
            <w:vAlign w:val="center"/>
            <w:hideMark/>
          </w:tcPr>
          <w:p w14:paraId="4E9E0081"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73.60%</w:t>
            </w:r>
          </w:p>
        </w:tc>
      </w:tr>
      <w:tr w:rsidR="006D68D4" w:rsidRPr="009E0050" w14:paraId="4E9E0089" w14:textId="77777777" w:rsidTr="00FF7866">
        <w:trPr>
          <w:trHeight w:val="455"/>
        </w:trPr>
        <w:tc>
          <w:tcPr>
            <w:tcW w:w="1901" w:type="pct"/>
            <w:shd w:val="clear" w:color="000000" w:fill="C5D9F1"/>
            <w:vAlign w:val="center"/>
            <w:hideMark/>
          </w:tcPr>
          <w:p w14:paraId="4E9E0083"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with access to solid waste disposal facility</w:t>
            </w:r>
          </w:p>
        </w:tc>
        <w:tc>
          <w:tcPr>
            <w:tcW w:w="620" w:type="pct"/>
            <w:shd w:val="clear" w:color="000000" w:fill="FCD5B4"/>
            <w:noWrap/>
            <w:vAlign w:val="center"/>
            <w:hideMark/>
          </w:tcPr>
          <w:p w14:paraId="4E9E0084"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79.20%</w:t>
            </w:r>
          </w:p>
        </w:tc>
        <w:tc>
          <w:tcPr>
            <w:tcW w:w="620" w:type="pct"/>
            <w:shd w:val="clear" w:color="000000" w:fill="FCD5B4"/>
            <w:noWrap/>
            <w:vAlign w:val="center"/>
            <w:hideMark/>
          </w:tcPr>
          <w:p w14:paraId="4E9E0085"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83.80%</w:t>
            </w:r>
          </w:p>
        </w:tc>
        <w:tc>
          <w:tcPr>
            <w:tcW w:w="620" w:type="pct"/>
            <w:shd w:val="clear" w:color="000000" w:fill="FCD5B4"/>
            <w:noWrap/>
            <w:vAlign w:val="center"/>
            <w:hideMark/>
          </w:tcPr>
          <w:p w14:paraId="4E9E0086"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75.80%</w:t>
            </w:r>
          </w:p>
        </w:tc>
        <w:tc>
          <w:tcPr>
            <w:tcW w:w="620" w:type="pct"/>
            <w:gridSpan w:val="2"/>
            <w:shd w:val="clear" w:color="000000" w:fill="FCD5B4"/>
            <w:noWrap/>
            <w:vAlign w:val="center"/>
            <w:hideMark/>
          </w:tcPr>
          <w:p w14:paraId="4E9E0087"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89.10%</w:t>
            </w:r>
          </w:p>
        </w:tc>
        <w:tc>
          <w:tcPr>
            <w:tcW w:w="619" w:type="pct"/>
            <w:shd w:val="clear" w:color="000000" w:fill="E6B8B7"/>
            <w:noWrap/>
            <w:vAlign w:val="center"/>
            <w:hideMark/>
          </w:tcPr>
          <w:p w14:paraId="4E9E0088"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61.80%</w:t>
            </w:r>
          </w:p>
        </w:tc>
      </w:tr>
      <w:tr w:rsidR="006D68D4" w:rsidRPr="009E0050" w14:paraId="4E9E0090" w14:textId="77777777" w:rsidTr="00FF7866">
        <w:trPr>
          <w:trHeight w:val="321"/>
        </w:trPr>
        <w:tc>
          <w:tcPr>
            <w:tcW w:w="1901" w:type="pct"/>
            <w:shd w:val="clear" w:color="000000" w:fill="C5D9F1"/>
            <w:vAlign w:val="center"/>
            <w:hideMark/>
          </w:tcPr>
          <w:p w14:paraId="4E9E008A"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practicing open defecation. **Includes defecating in the bush at night.</w:t>
            </w:r>
          </w:p>
        </w:tc>
        <w:tc>
          <w:tcPr>
            <w:tcW w:w="620" w:type="pct"/>
            <w:shd w:val="clear" w:color="000000" w:fill="FCD5B4"/>
            <w:vAlign w:val="center"/>
            <w:hideMark/>
          </w:tcPr>
          <w:p w14:paraId="4E9E008B"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10.10%</w:t>
            </w:r>
          </w:p>
        </w:tc>
        <w:tc>
          <w:tcPr>
            <w:tcW w:w="620" w:type="pct"/>
            <w:shd w:val="clear" w:color="000000" w:fill="FCD5B4"/>
            <w:vAlign w:val="center"/>
            <w:hideMark/>
          </w:tcPr>
          <w:p w14:paraId="4E9E008C"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5.10%</w:t>
            </w:r>
          </w:p>
        </w:tc>
        <w:tc>
          <w:tcPr>
            <w:tcW w:w="620" w:type="pct"/>
            <w:shd w:val="clear" w:color="000000" w:fill="FCD5B4"/>
            <w:vAlign w:val="center"/>
            <w:hideMark/>
          </w:tcPr>
          <w:p w14:paraId="4E9E008D"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10.60%</w:t>
            </w:r>
          </w:p>
        </w:tc>
        <w:tc>
          <w:tcPr>
            <w:tcW w:w="620" w:type="pct"/>
            <w:gridSpan w:val="2"/>
            <w:shd w:val="clear" w:color="000000" w:fill="FCD5B4"/>
            <w:vAlign w:val="center"/>
            <w:hideMark/>
          </w:tcPr>
          <w:p w14:paraId="4E9E008E"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21.80%</w:t>
            </w:r>
          </w:p>
        </w:tc>
        <w:tc>
          <w:tcPr>
            <w:tcW w:w="619" w:type="pct"/>
            <w:shd w:val="clear" w:color="000000" w:fill="E6B8B7"/>
            <w:vAlign w:val="center"/>
            <w:hideMark/>
          </w:tcPr>
          <w:p w14:paraId="4E9E008F"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31.90%</w:t>
            </w:r>
          </w:p>
        </w:tc>
      </w:tr>
      <w:tr w:rsidR="006D68D4" w:rsidRPr="009E0050" w14:paraId="4E9E0097" w14:textId="77777777" w:rsidTr="00FF7866">
        <w:trPr>
          <w:trHeight w:val="361"/>
        </w:trPr>
        <w:tc>
          <w:tcPr>
            <w:tcW w:w="1901" w:type="pct"/>
            <w:shd w:val="clear" w:color="000000" w:fill="C5D9F1"/>
            <w:vAlign w:val="center"/>
            <w:hideMark/>
          </w:tcPr>
          <w:p w14:paraId="4E9E0091" w14:textId="77777777" w:rsidR="006D68D4" w:rsidRPr="009E0050" w:rsidRDefault="006D68D4" w:rsidP="00FF7866">
            <w:pPr>
              <w:spacing w:after="0" w:line="240" w:lineRule="auto"/>
              <w:jc w:val="left"/>
              <w:rPr>
                <w:rFonts w:eastAsia="Times New Roman" w:cs="Calibri"/>
                <w:color w:val="000000"/>
                <w:lang w:eastAsia="en-GB"/>
              </w:rPr>
            </w:pPr>
            <w:r w:rsidRPr="009E0050">
              <w:rPr>
                <w:rFonts w:eastAsia="Times New Roman" w:cs="Calibri"/>
                <w:color w:val="000000"/>
                <w:lang w:eastAsia="en-GB"/>
              </w:rPr>
              <w:t>% HHs having access to a bathing facility</w:t>
            </w:r>
          </w:p>
        </w:tc>
        <w:tc>
          <w:tcPr>
            <w:tcW w:w="620" w:type="pct"/>
            <w:shd w:val="clear" w:color="000000" w:fill="FCD5B4"/>
            <w:vAlign w:val="center"/>
            <w:hideMark/>
          </w:tcPr>
          <w:p w14:paraId="4E9E0092"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8.00%</w:t>
            </w:r>
          </w:p>
        </w:tc>
        <w:tc>
          <w:tcPr>
            <w:tcW w:w="620" w:type="pct"/>
            <w:shd w:val="clear" w:color="000000" w:fill="FCD5B4"/>
            <w:vAlign w:val="center"/>
            <w:hideMark/>
          </w:tcPr>
          <w:p w14:paraId="4E9E0093"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28.70%</w:t>
            </w:r>
          </w:p>
        </w:tc>
        <w:tc>
          <w:tcPr>
            <w:tcW w:w="620" w:type="pct"/>
            <w:shd w:val="clear" w:color="000000" w:fill="FCD5B4"/>
            <w:vAlign w:val="center"/>
            <w:hideMark/>
          </w:tcPr>
          <w:p w14:paraId="4E9E0094"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18.90%</w:t>
            </w:r>
          </w:p>
        </w:tc>
        <w:tc>
          <w:tcPr>
            <w:tcW w:w="620" w:type="pct"/>
            <w:gridSpan w:val="2"/>
            <w:shd w:val="clear" w:color="000000" w:fill="FCD5B4"/>
            <w:vAlign w:val="center"/>
            <w:hideMark/>
          </w:tcPr>
          <w:p w14:paraId="4E9E0095"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30.90%</w:t>
            </w:r>
          </w:p>
        </w:tc>
        <w:tc>
          <w:tcPr>
            <w:tcW w:w="619" w:type="pct"/>
            <w:shd w:val="clear" w:color="000000" w:fill="E6B8B7"/>
            <w:vAlign w:val="center"/>
            <w:hideMark/>
          </w:tcPr>
          <w:p w14:paraId="4E9E0096" w14:textId="77777777" w:rsidR="006D68D4" w:rsidRPr="009E0050" w:rsidRDefault="006D68D4" w:rsidP="00FF7866">
            <w:pPr>
              <w:spacing w:after="0" w:line="240" w:lineRule="auto"/>
              <w:jc w:val="center"/>
              <w:rPr>
                <w:rFonts w:eastAsia="Times New Roman" w:cs="Calibri"/>
                <w:bCs/>
                <w:color w:val="000000"/>
                <w:lang w:eastAsia="en-GB"/>
              </w:rPr>
            </w:pPr>
            <w:r w:rsidRPr="009E0050">
              <w:rPr>
                <w:rFonts w:eastAsia="Times New Roman" w:cs="Calibri"/>
                <w:bCs/>
                <w:color w:val="000000"/>
                <w:lang w:eastAsia="en-GB"/>
              </w:rPr>
              <w:t>18.80%</w:t>
            </w:r>
          </w:p>
        </w:tc>
      </w:tr>
    </w:tbl>
    <w:p w14:paraId="4E9E0098" w14:textId="77777777" w:rsidR="006D68D4" w:rsidRPr="009E0050" w:rsidRDefault="00E70130" w:rsidP="006D68D4">
      <w:pPr>
        <w:spacing w:before="240"/>
        <w:rPr>
          <w:rFonts w:cs="Calibri"/>
        </w:rPr>
      </w:pPr>
      <w:r w:rsidRPr="00073682">
        <w:rPr>
          <w:rFonts w:cs="Calibri"/>
          <w:noProof/>
        </w:rPr>
        <w:drawing>
          <wp:anchor distT="0" distB="0" distL="114300" distR="114300" simplePos="0" relativeHeight="251671552" behindDoc="1" locked="0" layoutInCell="1" allowOverlap="1" wp14:anchorId="4E9E0184" wp14:editId="4E9E0185">
            <wp:simplePos x="0" y="0"/>
            <wp:positionH relativeFrom="column">
              <wp:posOffset>3571240</wp:posOffset>
            </wp:positionH>
            <wp:positionV relativeFrom="paragraph">
              <wp:posOffset>603885</wp:posOffset>
            </wp:positionV>
            <wp:extent cx="2368550" cy="2009775"/>
            <wp:effectExtent l="0" t="0" r="0" b="9525"/>
            <wp:wrapThrough wrapText="bothSides">
              <wp:wrapPolygon edited="0">
                <wp:start x="0" y="0"/>
                <wp:lineTo x="0" y="21498"/>
                <wp:lineTo x="21368" y="21498"/>
                <wp:lineTo x="21368" y="0"/>
                <wp:lineTo x="0" y="0"/>
              </wp:wrapPolygon>
            </wp:wrapThrough>
            <wp:docPr id="30" name="Picture 30" descr="C:\Users\M&amp;E\Desktop\Latr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mp;E\Desktop\Latrine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6855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68D4" w:rsidRPr="009E0050">
        <w:rPr>
          <w:rFonts w:cs="Calibri"/>
        </w:rPr>
        <w:t xml:space="preserve">The table 5 above presents survey findings where 86.7% of the HHs interviewed had access to a family latrine/toilet, 87.6% of the HHs reported defecating in a latrines. However, 14.1% of those interviewed reported practicing open defecation especially in the bush at night. A review of the project documents and other reports indicated that there are a total of 12,300 latrines in Kakuma refugee camps out of which 11,399 are Household (HH) latrines and 901 are communal latrines with the current coverage at 30.8% for Kakuma as indicated in the figure 7 below. Although there are few latrines in the camps, it was found out that </w:t>
      </w:r>
      <w:r w:rsidR="00DC04AD" w:rsidRPr="009E0050">
        <w:rPr>
          <w:rFonts w:cs="Calibri"/>
        </w:rPr>
        <w:t>neighboring</w:t>
      </w:r>
      <w:r w:rsidR="006D68D4" w:rsidRPr="009E0050">
        <w:rPr>
          <w:rFonts w:cs="Calibri"/>
        </w:rPr>
        <w:t xml:space="preserve"> households share these facilities both communal and HH latrines. Eighty nine percent (89%) of the latrines were observed to be friendly for use by PWDs and elderly persons.</w:t>
      </w:r>
      <w:r w:rsidRPr="00E70130">
        <w:rPr>
          <w:rFonts w:cs="Calibri"/>
          <w:noProof/>
          <w:lang w:val="en-GB" w:eastAsia="en-GB"/>
        </w:rPr>
        <w:t xml:space="preserve"> </w:t>
      </w:r>
    </w:p>
    <w:p w14:paraId="4E9E0099" w14:textId="77777777" w:rsidR="006D68D4" w:rsidRPr="009E0050" w:rsidRDefault="006D68D4" w:rsidP="006D68D4">
      <w:pPr>
        <w:pStyle w:val="Heading2"/>
        <w:rPr>
          <w:rFonts w:cs="Calibri"/>
          <w:szCs w:val="22"/>
        </w:rPr>
      </w:pPr>
      <w:bookmarkStart w:id="35" w:name="_Toc29286305"/>
      <w:r w:rsidRPr="009E0050">
        <w:rPr>
          <w:rFonts w:cs="Calibri"/>
          <w:szCs w:val="22"/>
        </w:rPr>
        <w:lastRenderedPageBreak/>
        <w:t xml:space="preserve">Figure 7: Latrine Coverage in Kakuma </w:t>
      </w:r>
      <w:r w:rsidR="008E2913" w:rsidRPr="009E0050">
        <w:rPr>
          <w:rFonts w:cs="Calibri"/>
          <w:szCs w:val="22"/>
        </w:rPr>
        <w:t>R</w:t>
      </w:r>
      <w:r w:rsidRPr="009E0050">
        <w:rPr>
          <w:rFonts w:cs="Calibri"/>
          <w:szCs w:val="22"/>
        </w:rPr>
        <w:t>efugee Camps</w:t>
      </w:r>
      <w:bookmarkEnd w:id="35"/>
    </w:p>
    <w:p w14:paraId="4E9E009A" w14:textId="77777777" w:rsidR="006D68D4" w:rsidRPr="009E0050" w:rsidRDefault="00ED071D" w:rsidP="006D68D4">
      <w:pPr>
        <w:spacing w:before="240"/>
        <w:rPr>
          <w:rFonts w:cs="Calibri"/>
        </w:rPr>
      </w:pPr>
      <w:r w:rsidRPr="009E0050">
        <w:rPr>
          <w:rFonts w:cs="Calibri"/>
          <w:noProof/>
        </w:rPr>
        <w:drawing>
          <wp:inline distT="0" distB="0" distL="0" distR="0" wp14:anchorId="4E9E0186" wp14:editId="4E9E0187">
            <wp:extent cx="5702300" cy="2432050"/>
            <wp:effectExtent l="0" t="0" r="0" b="0"/>
            <wp:docPr id="1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E9E009B" w14:textId="77777777" w:rsidR="006D68D4" w:rsidRPr="009E0050" w:rsidRDefault="006D68D4" w:rsidP="006D68D4">
      <w:pPr>
        <w:rPr>
          <w:rFonts w:cs="Calibri"/>
        </w:rPr>
      </w:pPr>
      <w:r w:rsidRPr="009E0050">
        <w:rPr>
          <w:rFonts w:cs="Calibri"/>
        </w:rPr>
        <w:t>Sixty two percent (62%) of the households reporting open defecation said that they did not have latrines as 19% reported that the latrine was far from the household and 13 said that they defecated in the nearby bush in the night since the latrine was too dark and another 3% were not certain why some of the household members defecated in the bush.</w:t>
      </w:r>
    </w:p>
    <w:p w14:paraId="4E9E009C" w14:textId="77777777" w:rsidR="006D68D4" w:rsidRPr="009E0050" w:rsidRDefault="006D68D4" w:rsidP="006D68D4">
      <w:pPr>
        <w:rPr>
          <w:rFonts w:cs="Calibri"/>
        </w:rPr>
      </w:pPr>
      <w:r w:rsidRPr="009E0050">
        <w:rPr>
          <w:rFonts w:cs="Calibri"/>
        </w:rPr>
        <w:t>Further, 78% of the households recorded that the latrines they accessed provided adequate privacy for them and their household members. Twenty one percent (21%) reported that the latrine they used did not provide adequate privacy for them and their household members because of the reasons shown in the figure 13 below while 2% were not sure.</w:t>
      </w:r>
    </w:p>
    <w:p w14:paraId="4E9E009D" w14:textId="77777777" w:rsidR="006D68D4" w:rsidRPr="009E0050" w:rsidRDefault="006D68D4" w:rsidP="006D68D4">
      <w:pPr>
        <w:pStyle w:val="Heading2"/>
        <w:rPr>
          <w:rFonts w:cs="Calibri"/>
          <w:szCs w:val="22"/>
        </w:rPr>
      </w:pPr>
      <w:bookmarkStart w:id="36" w:name="_Toc29286306"/>
      <w:r w:rsidRPr="009E0050">
        <w:rPr>
          <w:rFonts w:cs="Calibri"/>
          <w:szCs w:val="22"/>
        </w:rPr>
        <w:lastRenderedPageBreak/>
        <w:t>Figure 8: Reason for Lack of Privacy</w:t>
      </w:r>
      <w:bookmarkEnd w:id="36"/>
    </w:p>
    <w:p w14:paraId="4E9E009E" w14:textId="77777777" w:rsidR="006D68D4" w:rsidRPr="009E0050" w:rsidRDefault="00ED071D" w:rsidP="006D68D4">
      <w:pPr>
        <w:rPr>
          <w:rFonts w:cs="Calibri"/>
        </w:rPr>
      </w:pPr>
      <w:r w:rsidRPr="009E0050">
        <w:rPr>
          <w:rFonts w:cs="Calibri"/>
          <w:noProof/>
        </w:rPr>
        <w:drawing>
          <wp:inline distT="0" distB="0" distL="0" distR="0" wp14:anchorId="4E9E0188" wp14:editId="4E9E0189">
            <wp:extent cx="5648960" cy="2829560"/>
            <wp:effectExtent l="0" t="0" r="0" b="0"/>
            <wp:docPr id="12" name="Chart 10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E9E009F" w14:textId="77777777" w:rsidR="006D68D4" w:rsidRPr="009E0050" w:rsidRDefault="006D68D4" w:rsidP="006D68D4">
      <w:pPr>
        <w:rPr>
          <w:rFonts w:cs="Calibri"/>
        </w:rPr>
      </w:pPr>
      <w:r w:rsidRPr="009E0050">
        <w:rPr>
          <w:rFonts w:cs="Calibri"/>
        </w:rPr>
        <w:t>With regards to access to soap, 82.7% of the households reported having a regular access to soap from different sources as presented in the figure 8 below:</w:t>
      </w:r>
    </w:p>
    <w:p w14:paraId="4E9E00A0" w14:textId="77777777" w:rsidR="006D68D4" w:rsidRPr="009E0050" w:rsidRDefault="006D68D4" w:rsidP="006D68D4">
      <w:pPr>
        <w:pStyle w:val="Heading2"/>
        <w:rPr>
          <w:rFonts w:cs="Calibri"/>
          <w:szCs w:val="22"/>
        </w:rPr>
      </w:pPr>
      <w:bookmarkStart w:id="37" w:name="_Toc29286307"/>
      <w:r w:rsidRPr="009E0050">
        <w:rPr>
          <w:rFonts w:cs="Calibri"/>
          <w:szCs w:val="22"/>
        </w:rPr>
        <w:t>Figure 9: Source of Soap for the Household</w:t>
      </w:r>
      <w:bookmarkEnd w:id="37"/>
    </w:p>
    <w:p w14:paraId="4E9E00A1" w14:textId="77777777" w:rsidR="006D68D4" w:rsidRPr="009E0050" w:rsidRDefault="00ED071D" w:rsidP="006D68D4">
      <w:pPr>
        <w:rPr>
          <w:rFonts w:cs="Calibri"/>
          <w:noProof/>
          <w:lang w:eastAsia="en-GB"/>
        </w:rPr>
      </w:pPr>
      <w:r w:rsidRPr="009E0050">
        <w:rPr>
          <w:rFonts w:cs="Calibri"/>
          <w:noProof/>
        </w:rPr>
        <w:drawing>
          <wp:inline distT="0" distB="0" distL="0" distR="0" wp14:anchorId="4E9E018A" wp14:editId="4E9E018B">
            <wp:extent cx="5727700" cy="3053715"/>
            <wp:effectExtent l="0" t="0" r="0" b="0"/>
            <wp:docPr id="13" name="Chart 5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E9E00A2" w14:textId="77777777" w:rsidR="006D68D4" w:rsidRPr="009E0050" w:rsidRDefault="006D68D4" w:rsidP="006D68D4">
      <w:pPr>
        <w:rPr>
          <w:rFonts w:cs="Calibri"/>
          <w:noProof/>
          <w:lang w:eastAsia="en-GB"/>
        </w:rPr>
      </w:pPr>
      <w:r w:rsidRPr="009E0050">
        <w:rPr>
          <w:rFonts w:cs="Calibri"/>
          <w:noProof/>
          <w:lang w:eastAsia="en-GB"/>
        </w:rPr>
        <w:lastRenderedPageBreak/>
        <w:t>The survey sought to further find out from the respondents that did not have soap the rson for not having soap. Eighty six percent (86%) reported that the soap had ran out,  11% said that they could not afford to purhcase the soap and 1% siad that it was unnecessary to have soap, do not like soap and other reasons for not having soap respectively. Therefore,  the respondents resolved to use alternatives as indicated in the figure 9 below:</w:t>
      </w:r>
    </w:p>
    <w:p w14:paraId="4E9E00A3" w14:textId="77777777" w:rsidR="006D68D4" w:rsidRPr="009E0050" w:rsidRDefault="006D68D4" w:rsidP="006D68D4">
      <w:pPr>
        <w:pStyle w:val="Heading2"/>
        <w:rPr>
          <w:rFonts w:cs="Calibri"/>
          <w:szCs w:val="22"/>
        </w:rPr>
      </w:pPr>
      <w:bookmarkStart w:id="38" w:name="_Toc29286308"/>
      <w:r w:rsidRPr="009E0050">
        <w:rPr>
          <w:rFonts w:cs="Calibri"/>
          <w:szCs w:val="22"/>
        </w:rPr>
        <w:t>Figure 10: Handwashing Alternative</w:t>
      </w:r>
      <w:bookmarkEnd w:id="38"/>
    </w:p>
    <w:p w14:paraId="4E9E00A4" w14:textId="77777777" w:rsidR="006D68D4" w:rsidRPr="009E0050" w:rsidRDefault="00ED071D" w:rsidP="006D68D4">
      <w:pPr>
        <w:rPr>
          <w:rFonts w:cs="Calibri"/>
        </w:rPr>
      </w:pPr>
      <w:r w:rsidRPr="009E0050">
        <w:rPr>
          <w:rFonts w:cs="Calibri"/>
          <w:noProof/>
        </w:rPr>
        <w:drawing>
          <wp:inline distT="0" distB="0" distL="0" distR="0" wp14:anchorId="4E9E018C" wp14:editId="4E9E018D">
            <wp:extent cx="5727700" cy="2622550"/>
            <wp:effectExtent l="0" t="0" r="0" b="0"/>
            <wp:docPr id="14" name="Chart 6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E9E00A5" w14:textId="77777777" w:rsidR="006D68D4" w:rsidRPr="009E0050" w:rsidRDefault="006D68D4" w:rsidP="006D68D4">
      <w:pPr>
        <w:pStyle w:val="Heading2"/>
        <w:rPr>
          <w:rFonts w:cs="Calibri"/>
          <w:szCs w:val="22"/>
        </w:rPr>
      </w:pPr>
      <w:bookmarkStart w:id="39" w:name="_Toc29286309"/>
      <w:r w:rsidRPr="009E0050">
        <w:rPr>
          <w:rFonts w:cs="Calibri"/>
          <w:szCs w:val="22"/>
        </w:rPr>
        <w:t>Handwashing Device</w:t>
      </w:r>
      <w:bookmarkEnd w:id="39"/>
    </w:p>
    <w:p w14:paraId="4E9E00A6" w14:textId="77777777" w:rsidR="006D68D4" w:rsidRPr="009E0050" w:rsidRDefault="006D68D4" w:rsidP="006D68D4">
      <w:pPr>
        <w:rPr>
          <w:rFonts w:cs="Calibri"/>
        </w:rPr>
      </w:pPr>
      <w:r w:rsidRPr="009E0050">
        <w:rPr>
          <w:rFonts w:cs="Calibri"/>
        </w:rPr>
        <w:t>The figure below shows that 73% of the households interviewed had a pouring device as a hand washing facility and 27% used a basin or a bucket. In all these households with handwashing facilities, 89% of them had soap and 11% did not have soap.</w:t>
      </w:r>
    </w:p>
    <w:p w14:paraId="4E9E00A7" w14:textId="77777777" w:rsidR="006D68D4" w:rsidRPr="009E0050" w:rsidRDefault="006D68D4" w:rsidP="006D68D4">
      <w:pPr>
        <w:pStyle w:val="Heading2"/>
        <w:rPr>
          <w:rFonts w:cs="Calibri"/>
          <w:szCs w:val="22"/>
        </w:rPr>
      </w:pPr>
      <w:bookmarkStart w:id="40" w:name="_Toc29286310"/>
      <w:r w:rsidRPr="009E0050">
        <w:rPr>
          <w:rFonts w:cs="Calibri"/>
          <w:szCs w:val="22"/>
        </w:rPr>
        <w:lastRenderedPageBreak/>
        <w:t>Figure 11: Type of Handwashing Facility</w:t>
      </w:r>
      <w:bookmarkEnd w:id="40"/>
    </w:p>
    <w:p w14:paraId="4E9E00A8" w14:textId="77777777" w:rsidR="006D68D4" w:rsidRPr="009E0050" w:rsidRDefault="00ED071D" w:rsidP="006D68D4">
      <w:pPr>
        <w:rPr>
          <w:rFonts w:cs="Calibri"/>
        </w:rPr>
      </w:pPr>
      <w:r w:rsidRPr="009E0050">
        <w:rPr>
          <w:rFonts w:cs="Calibri"/>
          <w:noProof/>
        </w:rPr>
        <w:drawing>
          <wp:inline distT="0" distB="0" distL="0" distR="0" wp14:anchorId="4E9E018E" wp14:editId="4E9E018F">
            <wp:extent cx="5899785" cy="2579370"/>
            <wp:effectExtent l="0" t="0" r="0" b="0"/>
            <wp:docPr id="15" name="Chart 7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E9E00A9" w14:textId="77777777" w:rsidR="006D68D4" w:rsidRPr="009E0050" w:rsidRDefault="006D68D4" w:rsidP="006D68D4">
      <w:pPr>
        <w:pStyle w:val="Heading2"/>
        <w:rPr>
          <w:rFonts w:cs="Calibri"/>
          <w:szCs w:val="22"/>
        </w:rPr>
      </w:pPr>
      <w:bookmarkStart w:id="41" w:name="_Toc29286311"/>
      <w:r w:rsidRPr="009E0050">
        <w:rPr>
          <w:rFonts w:cs="Calibri"/>
          <w:szCs w:val="22"/>
        </w:rPr>
        <w:t>Food Handling Practices</w:t>
      </w:r>
      <w:bookmarkEnd w:id="41"/>
    </w:p>
    <w:p w14:paraId="4E9E00AA" w14:textId="77777777" w:rsidR="006D68D4" w:rsidRPr="009E0050" w:rsidRDefault="006D68D4" w:rsidP="006D68D4">
      <w:pPr>
        <w:rPr>
          <w:rFonts w:cs="Calibri"/>
        </w:rPr>
      </w:pPr>
      <w:r w:rsidRPr="009E0050">
        <w:rPr>
          <w:rFonts w:cs="Calibri"/>
        </w:rPr>
        <w:t>The survey found out that 79% of the households were observed to have covered their food and protected them from flies. The survey observed that 17% of the households had not covered their food and was not able to observe in 4% of the households as presented in the figure 12 below:</w:t>
      </w:r>
    </w:p>
    <w:p w14:paraId="4E9E00AB" w14:textId="77777777" w:rsidR="006D68D4" w:rsidRPr="009E0050" w:rsidRDefault="006D68D4" w:rsidP="006D68D4">
      <w:pPr>
        <w:pStyle w:val="Heading2"/>
        <w:rPr>
          <w:rFonts w:cs="Calibri"/>
          <w:szCs w:val="22"/>
        </w:rPr>
      </w:pPr>
      <w:bookmarkStart w:id="42" w:name="_Toc29286312"/>
      <w:r w:rsidRPr="009E0050">
        <w:rPr>
          <w:rFonts w:cs="Calibri"/>
          <w:szCs w:val="22"/>
        </w:rPr>
        <w:t>Figure 12: Food Handling Practices</w:t>
      </w:r>
      <w:bookmarkEnd w:id="42"/>
    </w:p>
    <w:p w14:paraId="4E9E00AC" w14:textId="77777777" w:rsidR="006D68D4" w:rsidRPr="009E0050" w:rsidRDefault="00ED071D" w:rsidP="006D68D4">
      <w:pPr>
        <w:rPr>
          <w:rFonts w:cs="Calibri"/>
        </w:rPr>
      </w:pPr>
      <w:r w:rsidRPr="009E0050">
        <w:rPr>
          <w:rFonts w:cs="Calibri"/>
          <w:noProof/>
        </w:rPr>
        <w:drawing>
          <wp:inline distT="0" distB="0" distL="0" distR="0" wp14:anchorId="4E9E0190" wp14:editId="4E9E0191">
            <wp:extent cx="5779770" cy="2458720"/>
            <wp:effectExtent l="0" t="0" r="0" b="0"/>
            <wp:docPr id="16" name="Chart 8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E9E00AD" w14:textId="77777777" w:rsidR="006D68D4" w:rsidRPr="009E0050" w:rsidRDefault="006D68D4" w:rsidP="006D68D4">
      <w:pPr>
        <w:pStyle w:val="Heading2"/>
        <w:rPr>
          <w:rFonts w:cs="Calibri"/>
          <w:szCs w:val="22"/>
        </w:rPr>
      </w:pPr>
      <w:bookmarkStart w:id="43" w:name="_Toc29286313"/>
      <w:r w:rsidRPr="009E0050">
        <w:rPr>
          <w:rFonts w:cs="Calibri"/>
          <w:szCs w:val="22"/>
        </w:rPr>
        <w:t>Domestic Solid Waste Disposal</w:t>
      </w:r>
      <w:bookmarkEnd w:id="43"/>
    </w:p>
    <w:p w14:paraId="4E9E00AE" w14:textId="77777777" w:rsidR="006D68D4" w:rsidRPr="009E0050" w:rsidRDefault="006D68D4" w:rsidP="006D68D4">
      <w:pPr>
        <w:rPr>
          <w:rFonts w:cs="Calibri"/>
        </w:rPr>
      </w:pPr>
      <w:r w:rsidRPr="009E0050">
        <w:rPr>
          <w:rFonts w:cs="Calibri"/>
        </w:rPr>
        <w:t xml:space="preserve">The figure 13 below presents survey findings with regards to domestic solid waste disposal practices in the interviewed households. From the figure, 48% of the households interviewed reported that hey disposed their waste in household pits, 24% in communal pits, 10% in undesignated open areas, 7% in </w:t>
      </w:r>
      <w:r w:rsidRPr="009E0050">
        <w:rPr>
          <w:rFonts w:cs="Calibri"/>
        </w:rPr>
        <w:lastRenderedPageBreak/>
        <w:t xml:space="preserve">the street pin/container for garbage collection as 7% disposed their waste in designated open area and another 4% burnt it and 1% buried it. </w:t>
      </w:r>
    </w:p>
    <w:p w14:paraId="4E9E00AF" w14:textId="77777777" w:rsidR="006D68D4" w:rsidRPr="009E0050" w:rsidRDefault="006D68D4" w:rsidP="006D68D4">
      <w:pPr>
        <w:pStyle w:val="Heading2"/>
        <w:rPr>
          <w:rFonts w:cs="Calibri"/>
          <w:szCs w:val="22"/>
        </w:rPr>
      </w:pPr>
      <w:bookmarkStart w:id="44" w:name="_Toc29286314"/>
      <w:r w:rsidRPr="009E0050">
        <w:rPr>
          <w:rFonts w:cs="Calibri"/>
          <w:szCs w:val="22"/>
        </w:rPr>
        <w:t>Figure 13: Domestic Solid Waste Disposal</w:t>
      </w:r>
      <w:bookmarkEnd w:id="44"/>
    </w:p>
    <w:p w14:paraId="4E9E00B0" w14:textId="77777777" w:rsidR="006D68D4" w:rsidRPr="009E0050" w:rsidRDefault="00ED071D" w:rsidP="006D68D4">
      <w:pPr>
        <w:rPr>
          <w:rFonts w:cs="Calibri"/>
          <w:noProof/>
          <w:lang w:eastAsia="en-GB"/>
        </w:rPr>
      </w:pPr>
      <w:r w:rsidRPr="009E0050">
        <w:rPr>
          <w:rFonts w:cs="Calibri"/>
          <w:noProof/>
        </w:rPr>
        <w:drawing>
          <wp:inline distT="0" distB="0" distL="0" distR="0" wp14:anchorId="4E9E0192" wp14:editId="4E9E0193">
            <wp:extent cx="5727700" cy="2691130"/>
            <wp:effectExtent l="0" t="0" r="0" b="0"/>
            <wp:docPr id="17" name="Chart 12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E9E00B1" w14:textId="77777777" w:rsidR="006D68D4" w:rsidRPr="009E0050" w:rsidRDefault="006D68D4" w:rsidP="006D68D4">
      <w:pPr>
        <w:rPr>
          <w:rFonts w:cs="Calibri"/>
        </w:rPr>
      </w:pPr>
      <w:r w:rsidRPr="009E0050">
        <w:rPr>
          <w:rFonts w:cs="Calibri"/>
        </w:rPr>
        <w:t>In view of the findings presented in the figure above, the survey observed the cleanliness of the courtyard visited and observed that 57% of the households had no apparent trash scattered around the compound.</w:t>
      </w:r>
    </w:p>
    <w:p w14:paraId="4E9E00B2" w14:textId="77777777" w:rsidR="006D68D4" w:rsidRPr="009E0050" w:rsidRDefault="006D68D4" w:rsidP="006D68D4">
      <w:pPr>
        <w:pStyle w:val="Heading2"/>
        <w:rPr>
          <w:rFonts w:cs="Calibri"/>
          <w:szCs w:val="22"/>
        </w:rPr>
      </w:pPr>
      <w:bookmarkStart w:id="45" w:name="_Toc29286315"/>
      <w:r w:rsidRPr="009E0050">
        <w:rPr>
          <w:rFonts w:cs="Calibri"/>
          <w:szCs w:val="22"/>
        </w:rPr>
        <w:t>Hygiene and Health Messaging</w:t>
      </w:r>
      <w:bookmarkEnd w:id="45"/>
    </w:p>
    <w:p w14:paraId="4E9E00B3" w14:textId="77777777" w:rsidR="006D68D4" w:rsidRPr="009E0050" w:rsidRDefault="006D68D4" w:rsidP="006D68D4">
      <w:pPr>
        <w:rPr>
          <w:rFonts w:cs="Calibri"/>
        </w:rPr>
      </w:pPr>
      <w:r w:rsidRPr="009E0050">
        <w:rPr>
          <w:rFonts w:cs="Calibri"/>
        </w:rPr>
        <w:t>Home visits and Community meetings were reported by 32% as the most preferred way for the interviewees to receive hygiene and health messages. The next most preferred means of messaging was radio by 16% as 25% of the households owned a functioning radio. This was followed by FGDs at 9% as Short Messaging Service (SMS) was mentioned as most preferred by 6% of the interviewed respondents with 81% owning a functioning phone. The remaining 5% mentioned other sources including through religious leaders and schools. Written materials was not mentioned as the best way for households to receive hygiene messages even as 60% of the respondents indicating that that they could read and write.</w:t>
      </w:r>
    </w:p>
    <w:p w14:paraId="4E9E00B4" w14:textId="77777777" w:rsidR="006D68D4" w:rsidRPr="009E0050" w:rsidRDefault="006D68D4" w:rsidP="006D68D4">
      <w:pPr>
        <w:rPr>
          <w:rFonts w:cs="Calibri"/>
        </w:rPr>
      </w:pPr>
      <w:r w:rsidRPr="009E0050">
        <w:rPr>
          <w:rFonts w:cs="Calibri"/>
        </w:rPr>
        <w:t>With regards to the last time the household members accessed hygiene messages, 52% of the households interviewed indicated that they had been visited in the last one month by hygiene promoters and community health workers with hygiene messages. In addition, 45% of those interviewed reported that they had participated in health and hygiene campaigns in the last one month.</w:t>
      </w:r>
    </w:p>
    <w:p w14:paraId="4E9E00B5" w14:textId="77777777" w:rsidR="006D68D4" w:rsidRPr="009E0050" w:rsidRDefault="006D68D4" w:rsidP="006D68D4">
      <w:pPr>
        <w:pStyle w:val="Heading2"/>
        <w:rPr>
          <w:rFonts w:cs="Calibri"/>
          <w:szCs w:val="22"/>
        </w:rPr>
      </w:pPr>
      <w:bookmarkStart w:id="46" w:name="_Toc29286316"/>
      <w:r w:rsidRPr="009E0050">
        <w:rPr>
          <w:rFonts w:cs="Calibri"/>
          <w:szCs w:val="22"/>
        </w:rPr>
        <w:lastRenderedPageBreak/>
        <w:t>Receipt of Non Food Items (NFIs</w:t>
      </w:r>
      <w:r w:rsidR="00496334" w:rsidRPr="009E0050">
        <w:rPr>
          <w:rFonts w:cs="Calibri"/>
          <w:szCs w:val="22"/>
        </w:rPr>
        <w:t>)</w:t>
      </w:r>
      <w:bookmarkEnd w:id="46"/>
    </w:p>
    <w:p w14:paraId="4E9E00B6" w14:textId="77777777" w:rsidR="006D68D4" w:rsidRPr="009E0050" w:rsidRDefault="006D68D4" w:rsidP="006D68D4">
      <w:pPr>
        <w:rPr>
          <w:rFonts w:cs="Calibri"/>
        </w:rPr>
      </w:pPr>
      <w:r w:rsidRPr="009E0050">
        <w:rPr>
          <w:rFonts w:cs="Calibri"/>
        </w:rPr>
        <w:t>Survey findings shows that 575 of the households interviewed acknowledged that at least one member of their households had received an NFI in the last one month including either a soap, Oral Residual Sachet (ORS), jerricans, sanitary pads, hygiene kits and/or Aquatabs though the monthly distribution.</w:t>
      </w:r>
    </w:p>
    <w:p w14:paraId="4E9E00B7" w14:textId="77777777" w:rsidR="006D68D4" w:rsidRPr="009E0050" w:rsidRDefault="006D68D4" w:rsidP="006D68D4">
      <w:pPr>
        <w:pStyle w:val="Heading2"/>
        <w:rPr>
          <w:rFonts w:cs="Calibri"/>
          <w:szCs w:val="22"/>
        </w:rPr>
      </w:pPr>
      <w:bookmarkStart w:id="47" w:name="_Toc29286317"/>
      <w:r w:rsidRPr="009E0050">
        <w:rPr>
          <w:rFonts w:cs="Calibri"/>
          <w:szCs w:val="22"/>
        </w:rPr>
        <w:t>Menstrual Hygiene</w:t>
      </w:r>
      <w:bookmarkEnd w:id="47"/>
    </w:p>
    <w:p w14:paraId="4E9E00B8" w14:textId="77777777" w:rsidR="006D68D4" w:rsidRPr="009E0050" w:rsidRDefault="006D68D4" w:rsidP="006D68D4">
      <w:pPr>
        <w:rPr>
          <w:rFonts w:cs="Calibri"/>
        </w:rPr>
      </w:pPr>
      <w:r w:rsidRPr="009E0050">
        <w:rPr>
          <w:rFonts w:cs="Calibri"/>
        </w:rPr>
        <w:t>Figure 14 below presents survey findings on materials used by female of reproductive age that were interviewed in this survey. The survey findings show that 84% of the respondents used disposable pads, 5% used cotton, 5% used menstrual cups, 4% used reusable cloth, 2% said they used reusable pads and another 2% used layers of underwear while 1% did not use anything.</w:t>
      </w:r>
    </w:p>
    <w:p w14:paraId="4E9E00B9" w14:textId="77777777" w:rsidR="006D68D4" w:rsidRPr="009E0050" w:rsidRDefault="006D68D4" w:rsidP="006D68D4">
      <w:pPr>
        <w:pStyle w:val="Heading2"/>
        <w:rPr>
          <w:rFonts w:cs="Calibri"/>
          <w:szCs w:val="22"/>
        </w:rPr>
      </w:pPr>
      <w:bookmarkStart w:id="48" w:name="_Toc29286318"/>
      <w:r w:rsidRPr="009E0050">
        <w:rPr>
          <w:rFonts w:cs="Calibri"/>
          <w:szCs w:val="22"/>
        </w:rPr>
        <w:t>Figure 14: Materials Used for Menstrual Management in the Last Monthly Period</w:t>
      </w:r>
      <w:bookmarkEnd w:id="48"/>
    </w:p>
    <w:p w14:paraId="4E9E00BA" w14:textId="77777777" w:rsidR="006D68D4" w:rsidRPr="009E0050" w:rsidRDefault="00ED071D" w:rsidP="006D68D4">
      <w:pPr>
        <w:rPr>
          <w:rFonts w:cs="Calibri"/>
          <w:noProof/>
          <w:lang w:eastAsia="en-GB"/>
        </w:rPr>
      </w:pPr>
      <w:r w:rsidRPr="009E0050">
        <w:rPr>
          <w:rFonts w:cs="Calibri"/>
          <w:noProof/>
        </w:rPr>
        <w:drawing>
          <wp:inline distT="0" distB="0" distL="0" distR="0" wp14:anchorId="4E9E0194" wp14:editId="4E9E0195">
            <wp:extent cx="5727700" cy="2567940"/>
            <wp:effectExtent l="0" t="0" r="0" b="0"/>
            <wp:docPr id="18" name="Chart 17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E9E00BB" w14:textId="77777777" w:rsidR="006D68D4" w:rsidRPr="009E0050" w:rsidRDefault="006D68D4" w:rsidP="006D68D4">
      <w:pPr>
        <w:rPr>
          <w:rFonts w:cs="Calibri"/>
        </w:rPr>
      </w:pPr>
      <w:r w:rsidRPr="009E0050">
        <w:rPr>
          <w:rFonts w:cs="Calibri"/>
        </w:rPr>
        <w:t>The survey further sound out that 84% of the female interviewed would not use any other material apart from what they were using. Also, 97% indicated that they were able to privately change while at home in their last period. In addition, 82% reported that water and tissues were available where they changed their last menstrual management products.</w:t>
      </w:r>
    </w:p>
    <w:p w14:paraId="4E9E00BC" w14:textId="77777777" w:rsidR="006D68D4" w:rsidRPr="009E0050" w:rsidRDefault="006D68D4" w:rsidP="006D68D4">
      <w:pPr>
        <w:rPr>
          <w:rFonts w:cs="Calibri"/>
        </w:rPr>
      </w:pPr>
      <w:r w:rsidRPr="009E0050">
        <w:rPr>
          <w:rFonts w:cs="Calibri"/>
        </w:rPr>
        <w:t>On activities missed by female interviewees in the last menstrual period, 27% indicated that they missed attending school, 22% missed paid work. Twenty five percent (25%) said they missed participating in social activities and 30% missed cooking and eating with others respectively in their last monthly period. Thirty three (33%) percent said that they could not bath in usual bathing places in their last monthly period.</w:t>
      </w:r>
    </w:p>
    <w:p w14:paraId="4E9E00BD" w14:textId="77777777" w:rsidR="00A477DE" w:rsidRPr="009E0050" w:rsidRDefault="006D68D4" w:rsidP="006D68D4">
      <w:pPr>
        <w:rPr>
          <w:rFonts w:cs="Calibri"/>
        </w:rPr>
      </w:pPr>
      <w:r w:rsidRPr="009E0050">
        <w:rPr>
          <w:rFonts w:cs="Calibri"/>
        </w:rPr>
        <w:t xml:space="preserve"> </w:t>
      </w:r>
    </w:p>
    <w:p w14:paraId="4E9E00BE" w14:textId="77777777" w:rsidR="006D68D4" w:rsidRPr="009E0050" w:rsidRDefault="00A477DE" w:rsidP="003111FE">
      <w:pPr>
        <w:pStyle w:val="Heading2"/>
      </w:pPr>
      <w:r w:rsidRPr="009E0050">
        <w:br w:type="page"/>
      </w:r>
      <w:bookmarkStart w:id="49" w:name="_Toc29286319"/>
      <w:r w:rsidR="006D68D4" w:rsidRPr="009E0050">
        <w:lastRenderedPageBreak/>
        <w:t>Safe Programming</w:t>
      </w:r>
      <w:bookmarkEnd w:id="49"/>
    </w:p>
    <w:p w14:paraId="4E9E00BF" w14:textId="77777777" w:rsidR="006D68D4" w:rsidRPr="009E0050" w:rsidRDefault="006D68D4" w:rsidP="006D68D4">
      <w:pPr>
        <w:rPr>
          <w:rFonts w:cs="Calibri"/>
        </w:rPr>
      </w:pPr>
      <w:r w:rsidRPr="009E0050">
        <w:rPr>
          <w:rFonts w:cs="Calibri"/>
        </w:rPr>
        <w:t>The survey sought to find out whether protection issues were mainstreamed in the implementation of the WASH project. Safe programming was looked at in terms of different thematic areas and the findings from each thematic areas are presented in the table below:</w:t>
      </w:r>
    </w:p>
    <w:p w14:paraId="4E9E00C0" w14:textId="77777777" w:rsidR="006D68D4" w:rsidRPr="009E0050" w:rsidRDefault="006D68D4" w:rsidP="006D68D4">
      <w:pPr>
        <w:pStyle w:val="Heading2"/>
        <w:rPr>
          <w:rFonts w:cs="Calibri"/>
          <w:szCs w:val="22"/>
        </w:rPr>
      </w:pPr>
      <w:bookmarkStart w:id="50" w:name="_Toc29286148"/>
      <w:bookmarkStart w:id="51" w:name="_Toc29286320"/>
      <w:r w:rsidRPr="009E0050">
        <w:rPr>
          <w:rFonts w:cs="Calibri"/>
          <w:szCs w:val="22"/>
        </w:rPr>
        <w:t>Table 7: Findings on Safe Programming</w:t>
      </w:r>
      <w:bookmarkEnd w:id="50"/>
      <w:bookmarkEnd w:id="51"/>
      <w:r w:rsidRPr="009E0050">
        <w:rPr>
          <w:rFonts w:cs="Calibri"/>
          <w:szCs w:val="22"/>
        </w:rPr>
        <w:t xml:space="preserve"> </w:t>
      </w:r>
    </w:p>
    <w:tbl>
      <w:tblPr>
        <w:tblW w:w="9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6"/>
        <w:gridCol w:w="3027"/>
        <w:gridCol w:w="3027"/>
      </w:tblGrid>
      <w:tr w:rsidR="006D68D4" w:rsidRPr="009E0050" w14:paraId="4E9E00C2" w14:textId="77777777" w:rsidTr="00FF7866">
        <w:trPr>
          <w:cantSplit/>
          <w:trHeight w:val="414"/>
        </w:trPr>
        <w:tc>
          <w:tcPr>
            <w:tcW w:w="9080" w:type="dxa"/>
            <w:gridSpan w:val="3"/>
            <w:shd w:val="clear" w:color="000000" w:fill="FFFFFF"/>
            <w:vAlign w:val="center"/>
            <w:hideMark/>
          </w:tcPr>
          <w:p w14:paraId="4E9E00C1" w14:textId="77777777" w:rsidR="006D68D4" w:rsidRPr="009E0050" w:rsidRDefault="006D68D4" w:rsidP="00FF7866">
            <w:pPr>
              <w:spacing w:after="0" w:line="240" w:lineRule="auto"/>
              <w:rPr>
                <w:rFonts w:eastAsia="Times New Roman" w:cs="Calibri"/>
                <w:b/>
                <w:bCs/>
                <w:color w:val="000000"/>
                <w:lang w:eastAsia="en-GB"/>
              </w:rPr>
            </w:pPr>
            <w:r w:rsidRPr="009E0050">
              <w:rPr>
                <w:rFonts w:eastAsia="Times New Roman" w:cs="Calibri"/>
                <w:b/>
                <w:bCs/>
                <w:color w:val="000000"/>
                <w:lang w:eastAsia="en-GB"/>
              </w:rPr>
              <w:t>Is there an operational and representative committee for the management of facilities and service delivery?</w:t>
            </w:r>
          </w:p>
        </w:tc>
      </w:tr>
      <w:tr w:rsidR="006D68D4" w:rsidRPr="009E0050" w14:paraId="4E9E00C6" w14:textId="77777777" w:rsidTr="00FF7866">
        <w:trPr>
          <w:trHeight w:val="414"/>
        </w:trPr>
        <w:tc>
          <w:tcPr>
            <w:tcW w:w="3026" w:type="dxa"/>
            <w:shd w:val="clear" w:color="000000" w:fill="FFFFFF"/>
            <w:vAlign w:val="center"/>
            <w:hideMark/>
          </w:tcPr>
          <w:p w14:paraId="4E9E00C3"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 </w:t>
            </w:r>
          </w:p>
        </w:tc>
        <w:tc>
          <w:tcPr>
            <w:tcW w:w="3027" w:type="dxa"/>
            <w:shd w:val="clear" w:color="000000" w:fill="FFFFFF"/>
            <w:vAlign w:val="center"/>
            <w:hideMark/>
          </w:tcPr>
          <w:p w14:paraId="4E9E00C4" w14:textId="77777777" w:rsidR="006D68D4" w:rsidRPr="009E0050" w:rsidRDefault="006D68D4" w:rsidP="00FF7866">
            <w:pPr>
              <w:spacing w:after="0" w:line="240" w:lineRule="auto"/>
              <w:jc w:val="center"/>
              <w:rPr>
                <w:rFonts w:eastAsia="Times New Roman" w:cs="Calibri"/>
                <w:b/>
                <w:color w:val="000000"/>
                <w:lang w:eastAsia="en-GB"/>
              </w:rPr>
            </w:pPr>
            <w:r w:rsidRPr="009E0050">
              <w:rPr>
                <w:rFonts w:eastAsia="Times New Roman" w:cs="Calibri"/>
                <w:b/>
                <w:color w:val="000000"/>
                <w:lang w:eastAsia="en-GB"/>
              </w:rPr>
              <w:t>Frequency</w:t>
            </w:r>
          </w:p>
        </w:tc>
        <w:tc>
          <w:tcPr>
            <w:tcW w:w="3027" w:type="dxa"/>
            <w:shd w:val="clear" w:color="000000" w:fill="FFFFFF"/>
            <w:vAlign w:val="center"/>
            <w:hideMark/>
          </w:tcPr>
          <w:p w14:paraId="4E9E00C5" w14:textId="77777777" w:rsidR="006D68D4" w:rsidRPr="009E0050" w:rsidRDefault="006D68D4" w:rsidP="00FF7866">
            <w:pPr>
              <w:spacing w:after="0" w:line="240" w:lineRule="auto"/>
              <w:jc w:val="center"/>
              <w:rPr>
                <w:rFonts w:eastAsia="Times New Roman" w:cs="Calibri"/>
                <w:b/>
                <w:color w:val="000000"/>
                <w:lang w:eastAsia="en-GB"/>
              </w:rPr>
            </w:pPr>
            <w:r w:rsidRPr="009E0050">
              <w:rPr>
                <w:rFonts w:eastAsia="Times New Roman" w:cs="Calibri"/>
                <w:b/>
                <w:color w:val="000000"/>
                <w:lang w:eastAsia="en-GB"/>
              </w:rPr>
              <w:t>Percent</w:t>
            </w:r>
          </w:p>
        </w:tc>
      </w:tr>
      <w:tr w:rsidR="006D68D4" w:rsidRPr="009E0050" w14:paraId="4E9E00CA" w14:textId="77777777" w:rsidTr="00FF7866">
        <w:trPr>
          <w:cantSplit/>
          <w:trHeight w:val="414"/>
        </w:trPr>
        <w:tc>
          <w:tcPr>
            <w:tcW w:w="3026" w:type="dxa"/>
            <w:shd w:val="clear" w:color="000000" w:fill="FFFFFF"/>
            <w:vAlign w:val="center"/>
            <w:hideMark/>
          </w:tcPr>
          <w:p w14:paraId="4E9E00C7"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No</w:t>
            </w:r>
          </w:p>
        </w:tc>
        <w:tc>
          <w:tcPr>
            <w:tcW w:w="3027" w:type="dxa"/>
            <w:shd w:val="clear" w:color="000000" w:fill="FFFFFF"/>
            <w:vAlign w:val="center"/>
            <w:hideMark/>
          </w:tcPr>
          <w:p w14:paraId="4E9E00C8"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322</w:t>
            </w:r>
          </w:p>
        </w:tc>
        <w:tc>
          <w:tcPr>
            <w:tcW w:w="3027" w:type="dxa"/>
            <w:shd w:val="clear" w:color="000000" w:fill="FFFFFF"/>
            <w:vAlign w:val="center"/>
            <w:hideMark/>
          </w:tcPr>
          <w:p w14:paraId="4E9E00C9"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33.3%</w:t>
            </w:r>
          </w:p>
        </w:tc>
      </w:tr>
      <w:tr w:rsidR="006D68D4" w:rsidRPr="009E0050" w14:paraId="4E9E00CE" w14:textId="77777777" w:rsidTr="00FF7866">
        <w:trPr>
          <w:cantSplit/>
          <w:trHeight w:val="414"/>
        </w:trPr>
        <w:tc>
          <w:tcPr>
            <w:tcW w:w="3026" w:type="dxa"/>
            <w:shd w:val="clear" w:color="000000" w:fill="FFFFFF"/>
            <w:vAlign w:val="center"/>
            <w:hideMark/>
          </w:tcPr>
          <w:p w14:paraId="4E9E00CB"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Yes</w:t>
            </w:r>
          </w:p>
        </w:tc>
        <w:tc>
          <w:tcPr>
            <w:tcW w:w="3027" w:type="dxa"/>
            <w:shd w:val="clear" w:color="000000" w:fill="FFFFFF"/>
            <w:vAlign w:val="center"/>
            <w:hideMark/>
          </w:tcPr>
          <w:p w14:paraId="4E9E00CC"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644</w:t>
            </w:r>
          </w:p>
        </w:tc>
        <w:tc>
          <w:tcPr>
            <w:tcW w:w="3027" w:type="dxa"/>
            <w:shd w:val="clear" w:color="000000" w:fill="FFFFFF"/>
            <w:vAlign w:val="center"/>
            <w:hideMark/>
          </w:tcPr>
          <w:p w14:paraId="4E9E00CD"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66.5%</w:t>
            </w:r>
          </w:p>
        </w:tc>
      </w:tr>
      <w:tr w:rsidR="006D68D4" w:rsidRPr="009E0050" w14:paraId="4E9E00D0" w14:textId="77777777" w:rsidTr="00FF7866">
        <w:trPr>
          <w:cantSplit/>
          <w:trHeight w:val="414"/>
        </w:trPr>
        <w:tc>
          <w:tcPr>
            <w:tcW w:w="9080" w:type="dxa"/>
            <w:gridSpan w:val="3"/>
            <w:shd w:val="clear" w:color="000000" w:fill="FFFFFF"/>
            <w:vAlign w:val="center"/>
            <w:hideMark/>
          </w:tcPr>
          <w:p w14:paraId="4E9E00CF" w14:textId="77777777" w:rsidR="006D68D4" w:rsidRPr="009E0050" w:rsidRDefault="006D68D4" w:rsidP="00FF7866">
            <w:pPr>
              <w:spacing w:after="0" w:line="240" w:lineRule="auto"/>
              <w:rPr>
                <w:rFonts w:eastAsia="Times New Roman" w:cs="Calibri"/>
                <w:b/>
                <w:bCs/>
                <w:color w:val="000000"/>
                <w:lang w:eastAsia="en-GB"/>
              </w:rPr>
            </w:pPr>
            <w:r w:rsidRPr="009E0050">
              <w:rPr>
                <w:rFonts w:eastAsia="Times New Roman" w:cs="Calibri"/>
                <w:b/>
                <w:bCs/>
                <w:color w:val="000000"/>
                <w:lang w:eastAsia="en-GB"/>
              </w:rPr>
              <w:t>Do men, boys, girls and Persons with disabilities/Children with disabilities have access to services provided by WASH and ICLA project?</w:t>
            </w:r>
          </w:p>
        </w:tc>
      </w:tr>
      <w:tr w:rsidR="006D68D4" w:rsidRPr="009E0050" w14:paraId="4E9E00D4" w14:textId="77777777" w:rsidTr="00FF7866">
        <w:trPr>
          <w:cantSplit/>
          <w:trHeight w:val="414"/>
        </w:trPr>
        <w:tc>
          <w:tcPr>
            <w:tcW w:w="3026" w:type="dxa"/>
            <w:shd w:val="clear" w:color="000000" w:fill="FFFFFF"/>
            <w:vAlign w:val="center"/>
            <w:hideMark/>
          </w:tcPr>
          <w:p w14:paraId="4E9E00D1"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Don't know</w:t>
            </w:r>
          </w:p>
        </w:tc>
        <w:tc>
          <w:tcPr>
            <w:tcW w:w="3027" w:type="dxa"/>
            <w:shd w:val="clear" w:color="000000" w:fill="FFFFFF"/>
            <w:vAlign w:val="center"/>
            <w:hideMark/>
          </w:tcPr>
          <w:p w14:paraId="4E9E00D2"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86</w:t>
            </w:r>
          </w:p>
        </w:tc>
        <w:tc>
          <w:tcPr>
            <w:tcW w:w="3027" w:type="dxa"/>
            <w:shd w:val="clear" w:color="000000" w:fill="FFFFFF"/>
            <w:vAlign w:val="center"/>
            <w:hideMark/>
          </w:tcPr>
          <w:p w14:paraId="4E9E00D3"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8.9%</w:t>
            </w:r>
          </w:p>
        </w:tc>
      </w:tr>
      <w:tr w:rsidR="006D68D4" w:rsidRPr="009E0050" w14:paraId="4E9E00D8" w14:textId="77777777" w:rsidTr="00FF7866">
        <w:trPr>
          <w:cantSplit/>
          <w:trHeight w:val="414"/>
        </w:trPr>
        <w:tc>
          <w:tcPr>
            <w:tcW w:w="3026" w:type="dxa"/>
            <w:shd w:val="clear" w:color="000000" w:fill="FFFFFF"/>
            <w:vAlign w:val="center"/>
            <w:hideMark/>
          </w:tcPr>
          <w:p w14:paraId="4E9E00D5"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No</w:t>
            </w:r>
          </w:p>
        </w:tc>
        <w:tc>
          <w:tcPr>
            <w:tcW w:w="3027" w:type="dxa"/>
            <w:shd w:val="clear" w:color="000000" w:fill="FFFFFF"/>
            <w:vAlign w:val="center"/>
            <w:hideMark/>
          </w:tcPr>
          <w:p w14:paraId="4E9E00D6"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172</w:t>
            </w:r>
          </w:p>
        </w:tc>
        <w:tc>
          <w:tcPr>
            <w:tcW w:w="3027" w:type="dxa"/>
            <w:shd w:val="clear" w:color="000000" w:fill="FFFFFF"/>
            <w:vAlign w:val="center"/>
            <w:hideMark/>
          </w:tcPr>
          <w:p w14:paraId="4E9E00D7"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17.8%</w:t>
            </w:r>
          </w:p>
        </w:tc>
      </w:tr>
      <w:tr w:rsidR="006D68D4" w:rsidRPr="009E0050" w14:paraId="4E9E00DC" w14:textId="77777777" w:rsidTr="00FF7866">
        <w:trPr>
          <w:cantSplit/>
          <w:trHeight w:val="414"/>
        </w:trPr>
        <w:tc>
          <w:tcPr>
            <w:tcW w:w="3026" w:type="dxa"/>
            <w:shd w:val="clear" w:color="000000" w:fill="FFFFFF"/>
            <w:vAlign w:val="center"/>
            <w:hideMark/>
          </w:tcPr>
          <w:p w14:paraId="4E9E00D9"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Yes</w:t>
            </w:r>
          </w:p>
        </w:tc>
        <w:tc>
          <w:tcPr>
            <w:tcW w:w="3027" w:type="dxa"/>
            <w:shd w:val="clear" w:color="000000" w:fill="FFFFFF"/>
            <w:vAlign w:val="center"/>
            <w:hideMark/>
          </w:tcPr>
          <w:p w14:paraId="4E9E00DA"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708</w:t>
            </w:r>
          </w:p>
        </w:tc>
        <w:tc>
          <w:tcPr>
            <w:tcW w:w="3027" w:type="dxa"/>
            <w:shd w:val="clear" w:color="000000" w:fill="FFFFFF"/>
            <w:vAlign w:val="center"/>
            <w:hideMark/>
          </w:tcPr>
          <w:p w14:paraId="4E9E00DB"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73.1%</w:t>
            </w:r>
          </w:p>
        </w:tc>
      </w:tr>
      <w:tr w:rsidR="006D68D4" w:rsidRPr="009E0050" w14:paraId="4E9E00DE" w14:textId="77777777" w:rsidTr="00FF7866">
        <w:trPr>
          <w:cantSplit/>
          <w:trHeight w:val="414"/>
        </w:trPr>
        <w:tc>
          <w:tcPr>
            <w:tcW w:w="9080" w:type="dxa"/>
            <w:gridSpan w:val="3"/>
            <w:shd w:val="clear" w:color="000000" w:fill="FFFFFF"/>
            <w:vAlign w:val="center"/>
            <w:hideMark/>
          </w:tcPr>
          <w:p w14:paraId="4E9E00DD" w14:textId="77777777" w:rsidR="006D68D4" w:rsidRPr="009E0050" w:rsidRDefault="006D68D4" w:rsidP="00FF7866">
            <w:pPr>
              <w:spacing w:after="0" w:line="240" w:lineRule="auto"/>
              <w:rPr>
                <w:rFonts w:eastAsia="Times New Roman" w:cs="Calibri"/>
                <w:b/>
                <w:bCs/>
                <w:color w:val="000000"/>
                <w:lang w:eastAsia="en-GB"/>
              </w:rPr>
            </w:pPr>
            <w:r w:rsidRPr="009E0050">
              <w:rPr>
                <w:rFonts w:eastAsia="Times New Roman" w:cs="Calibri"/>
                <w:b/>
                <w:bCs/>
                <w:color w:val="000000"/>
                <w:lang w:eastAsia="en-GB"/>
              </w:rPr>
              <w:t>Is there a complaints and feedback mechanism that addresses protection cases established in this community? (Dispute resolution committee)</w:t>
            </w:r>
          </w:p>
        </w:tc>
      </w:tr>
      <w:tr w:rsidR="006D68D4" w:rsidRPr="009E0050" w14:paraId="4E9E00E2" w14:textId="77777777" w:rsidTr="00FF7866">
        <w:trPr>
          <w:cantSplit/>
          <w:trHeight w:val="414"/>
        </w:trPr>
        <w:tc>
          <w:tcPr>
            <w:tcW w:w="3026" w:type="dxa"/>
            <w:shd w:val="clear" w:color="000000" w:fill="FFFFFF"/>
            <w:vAlign w:val="center"/>
            <w:hideMark/>
          </w:tcPr>
          <w:p w14:paraId="4E9E00DF"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In place but not operational</w:t>
            </w:r>
          </w:p>
        </w:tc>
        <w:tc>
          <w:tcPr>
            <w:tcW w:w="3027" w:type="dxa"/>
            <w:shd w:val="clear" w:color="000000" w:fill="FFFFFF"/>
            <w:vAlign w:val="center"/>
            <w:hideMark/>
          </w:tcPr>
          <w:p w14:paraId="4E9E00E0"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181</w:t>
            </w:r>
          </w:p>
        </w:tc>
        <w:tc>
          <w:tcPr>
            <w:tcW w:w="3027" w:type="dxa"/>
            <w:shd w:val="clear" w:color="000000" w:fill="FFFFFF"/>
            <w:vAlign w:val="center"/>
            <w:hideMark/>
          </w:tcPr>
          <w:p w14:paraId="4E9E00E1"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18.7%</w:t>
            </w:r>
          </w:p>
        </w:tc>
      </w:tr>
      <w:tr w:rsidR="006D68D4" w:rsidRPr="009E0050" w14:paraId="4E9E00E6" w14:textId="77777777" w:rsidTr="00FF7866">
        <w:trPr>
          <w:cantSplit/>
          <w:trHeight w:val="414"/>
        </w:trPr>
        <w:tc>
          <w:tcPr>
            <w:tcW w:w="3026" w:type="dxa"/>
            <w:shd w:val="clear" w:color="000000" w:fill="FFFFFF"/>
            <w:vAlign w:val="center"/>
            <w:hideMark/>
          </w:tcPr>
          <w:p w14:paraId="4E9E00E3"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No feedback mechanism</w:t>
            </w:r>
          </w:p>
        </w:tc>
        <w:tc>
          <w:tcPr>
            <w:tcW w:w="3027" w:type="dxa"/>
            <w:shd w:val="clear" w:color="000000" w:fill="FFFFFF"/>
            <w:vAlign w:val="center"/>
            <w:hideMark/>
          </w:tcPr>
          <w:p w14:paraId="4E9E00E4"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131</w:t>
            </w:r>
          </w:p>
        </w:tc>
        <w:tc>
          <w:tcPr>
            <w:tcW w:w="3027" w:type="dxa"/>
            <w:shd w:val="clear" w:color="000000" w:fill="FFFFFF"/>
            <w:vAlign w:val="center"/>
            <w:hideMark/>
          </w:tcPr>
          <w:p w14:paraId="4E9E00E5"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13.5%</w:t>
            </w:r>
          </w:p>
        </w:tc>
      </w:tr>
      <w:tr w:rsidR="006D68D4" w:rsidRPr="009E0050" w14:paraId="4E9E00EA" w14:textId="77777777" w:rsidTr="00FF7866">
        <w:trPr>
          <w:cantSplit/>
          <w:trHeight w:val="414"/>
        </w:trPr>
        <w:tc>
          <w:tcPr>
            <w:tcW w:w="3026" w:type="dxa"/>
            <w:shd w:val="clear" w:color="000000" w:fill="FFFFFF"/>
            <w:vAlign w:val="center"/>
            <w:hideMark/>
          </w:tcPr>
          <w:p w14:paraId="4E9E00E7"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Yes, mechanism operational</w:t>
            </w:r>
          </w:p>
        </w:tc>
        <w:tc>
          <w:tcPr>
            <w:tcW w:w="3027" w:type="dxa"/>
            <w:shd w:val="clear" w:color="000000" w:fill="FFFFFF"/>
            <w:vAlign w:val="center"/>
            <w:hideMark/>
          </w:tcPr>
          <w:p w14:paraId="4E9E00E8"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654</w:t>
            </w:r>
          </w:p>
        </w:tc>
        <w:tc>
          <w:tcPr>
            <w:tcW w:w="3027" w:type="dxa"/>
            <w:shd w:val="clear" w:color="000000" w:fill="FFFFFF"/>
            <w:vAlign w:val="center"/>
            <w:hideMark/>
          </w:tcPr>
          <w:p w14:paraId="4E9E00E9"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67.6%</w:t>
            </w:r>
          </w:p>
        </w:tc>
      </w:tr>
      <w:tr w:rsidR="006D68D4" w:rsidRPr="009E0050" w14:paraId="4E9E00EC" w14:textId="77777777" w:rsidTr="00FF7866">
        <w:trPr>
          <w:cantSplit/>
          <w:trHeight w:val="414"/>
        </w:trPr>
        <w:tc>
          <w:tcPr>
            <w:tcW w:w="9080" w:type="dxa"/>
            <w:gridSpan w:val="3"/>
            <w:shd w:val="clear" w:color="000000" w:fill="FFFFFF"/>
            <w:vAlign w:val="center"/>
            <w:hideMark/>
          </w:tcPr>
          <w:p w14:paraId="4E9E00EB" w14:textId="77777777" w:rsidR="006D68D4" w:rsidRPr="009E0050" w:rsidRDefault="006D68D4" w:rsidP="00FF7866">
            <w:pPr>
              <w:spacing w:after="0" w:line="240" w:lineRule="auto"/>
              <w:rPr>
                <w:rFonts w:eastAsia="Times New Roman" w:cs="Calibri"/>
                <w:b/>
                <w:bCs/>
                <w:color w:val="000000"/>
                <w:lang w:eastAsia="en-GB"/>
              </w:rPr>
            </w:pPr>
            <w:r w:rsidRPr="009E0050">
              <w:rPr>
                <w:rFonts w:eastAsia="Times New Roman" w:cs="Calibri"/>
                <w:b/>
                <w:bCs/>
                <w:color w:val="000000"/>
                <w:lang w:eastAsia="en-GB"/>
              </w:rPr>
              <w:t>Are you aware of how to place feedback and complaints of protection cases?</w:t>
            </w:r>
          </w:p>
        </w:tc>
      </w:tr>
      <w:tr w:rsidR="006D68D4" w:rsidRPr="009E0050" w14:paraId="4E9E00F0" w14:textId="77777777" w:rsidTr="00FF7866">
        <w:trPr>
          <w:cantSplit/>
          <w:trHeight w:val="414"/>
        </w:trPr>
        <w:tc>
          <w:tcPr>
            <w:tcW w:w="3026" w:type="dxa"/>
            <w:shd w:val="clear" w:color="000000" w:fill="FFFFFF"/>
            <w:vAlign w:val="center"/>
            <w:hideMark/>
          </w:tcPr>
          <w:p w14:paraId="4E9E00ED"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Fully aware (90% of them)</w:t>
            </w:r>
          </w:p>
        </w:tc>
        <w:tc>
          <w:tcPr>
            <w:tcW w:w="3027" w:type="dxa"/>
            <w:shd w:val="clear" w:color="000000" w:fill="FFFFFF"/>
            <w:vAlign w:val="center"/>
            <w:hideMark/>
          </w:tcPr>
          <w:p w14:paraId="4E9E00EE"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377</w:t>
            </w:r>
          </w:p>
        </w:tc>
        <w:tc>
          <w:tcPr>
            <w:tcW w:w="3027" w:type="dxa"/>
            <w:shd w:val="clear" w:color="000000" w:fill="FFFFFF"/>
            <w:vAlign w:val="center"/>
            <w:hideMark/>
          </w:tcPr>
          <w:p w14:paraId="4E9E00EF"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38.9%</w:t>
            </w:r>
          </w:p>
        </w:tc>
      </w:tr>
      <w:tr w:rsidR="006D68D4" w:rsidRPr="009E0050" w14:paraId="4E9E00F4" w14:textId="77777777" w:rsidTr="00FF7866">
        <w:trPr>
          <w:cantSplit/>
          <w:trHeight w:val="414"/>
        </w:trPr>
        <w:tc>
          <w:tcPr>
            <w:tcW w:w="3026" w:type="dxa"/>
            <w:shd w:val="clear" w:color="000000" w:fill="FFFFFF"/>
            <w:vAlign w:val="center"/>
            <w:hideMark/>
          </w:tcPr>
          <w:p w14:paraId="4E9E00F1"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Not aware (less than 50% of them)</w:t>
            </w:r>
          </w:p>
        </w:tc>
        <w:tc>
          <w:tcPr>
            <w:tcW w:w="3027" w:type="dxa"/>
            <w:shd w:val="clear" w:color="000000" w:fill="FFFFFF"/>
            <w:vAlign w:val="center"/>
            <w:hideMark/>
          </w:tcPr>
          <w:p w14:paraId="4E9E00F2"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151</w:t>
            </w:r>
          </w:p>
        </w:tc>
        <w:tc>
          <w:tcPr>
            <w:tcW w:w="3027" w:type="dxa"/>
            <w:shd w:val="clear" w:color="000000" w:fill="FFFFFF"/>
            <w:vAlign w:val="center"/>
            <w:hideMark/>
          </w:tcPr>
          <w:p w14:paraId="4E9E00F3"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15.6%</w:t>
            </w:r>
          </w:p>
        </w:tc>
      </w:tr>
      <w:tr w:rsidR="006D68D4" w:rsidRPr="009E0050" w14:paraId="4E9E00F8" w14:textId="77777777" w:rsidTr="00FF7866">
        <w:trPr>
          <w:cantSplit/>
          <w:trHeight w:val="414"/>
        </w:trPr>
        <w:tc>
          <w:tcPr>
            <w:tcW w:w="3026" w:type="dxa"/>
            <w:shd w:val="clear" w:color="000000" w:fill="FFFFFF"/>
            <w:vAlign w:val="center"/>
            <w:hideMark/>
          </w:tcPr>
          <w:p w14:paraId="4E9E00F5"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Partially aware (between 50-89%)</w:t>
            </w:r>
          </w:p>
        </w:tc>
        <w:tc>
          <w:tcPr>
            <w:tcW w:w="3027" w:type="dxa"/>
            <w:shd w:val="clear" w:color="000000" w:fill="FFFFFF"/>
            <w:vAlign w:val="center"/>
            <w:hideMark/>
          </w:tcPr>
          <w:p w14:paraId="4E9E00F6"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438</w:t>
            </w:r>
          </w:p>
        </w:tc>
        <w:tc>
          <w:tcPr>
            <w:tcW w:w="3027" w:type="dxa"/>
            <w:shd w:val="clear" w:color="000000" w:fill="FFFFFF"/>
            <w:vAlign w:val="center"/>
            <w:hideMark/>
          </w:tcPr>
          <w:p w14:paraId="4E9E00F7"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45.2%</w:t>
            </w:r>
          </w:p>
        </w:tc>
      </w:tr>
      <w:tr w:rsidR="006D68D4" w:rsidRPr="009E0050" w14:paraId="4E9E00FA" w14:textId="77777777" w:rsidTr="00FF7866">
        <w:trPr>
          <w:cantSplit/>
          <w:trHeight w:val="414"/>
        </w:trPr>
        <w:tc>
          <w:tcPr>
            <w:tcW w:w="9080" w:type="dxa"/>
            <w:gridSpan w:val="3"/>
            <w:shd w:val="clear" w:color="000000" w:fill="FFFFFF"/>
            <w:vAlign w:val="center"/>
            <w:hideMark/>
          </w:tcPr>
          <w:p w14:paraId="4E9E00F9" w14:textId="77777777" w:rsidR="006D68D4" w:rsidRPr="009E0050" w:rsidRDefault="006D68D4" w:rsidP="00FF7866">
            <w:pPr>
              <w:spacing w:after="0" w:line="240" w:lineRule="auto"/>
              <w:rPr>
                <w:rFonts w:eastAsia="Times New Roman" w:cs="Calibri"/>
                <w:b/>
                <w:bCs/>
                <w:color w:val="000000"/>
                <w:lang w:eastAsia="en-GB"/>
              </w:rPr>
            </w:pPr>
            <w:r w:rsidRPr="009E0050">
              <w:rPr>
                <w:rFonts w:eastAsia="Times New Roman" w:cs="Calibri"/>
                <w:b/>
                <w:bCs/>
                <w:color w:val="000000"/>
                <w:lang w:eastAsia="en-GB"/>
              </w:rPr>
              <w:t>Are the complaints/feedback been responded to or forwarded to the appropriate actor?</w:t>
            </w:r>
          </w:p>
        </w:tc>
      </w:tr>
      <w:tr w:rsidR="006D68D4" w:rsidRPr="009E0050" w14:paraId="4E9E00FE" w14:textId="77777777" w:rsidTr="00FF7866">
        <w:trPr>
          <w:cantSplit/>
          <w:trHeight w:val="414"/>
        </w:trPr>
        <w:tc>
          <w:tcPr>
            <w:tcW w:w="3026" w:type="dxa"/>
            <w:shd w:val="clear" w:color="000000" w:fill="FFFFFF"/>
            <w:vAlign w:val="center"/>
            <w:hideMark/>
          </w:tcPr>
          <w:p w14:paraId="4E9E00FB"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Always</w:t>
            </w:r>
          </w:p>
        </w:tc>
        <w:tc>
          <w:tcPr>
            <w:tcW w:w="3027" w:type="dxa"/>
            <w:shd w:val="clear" w:color="000000" w:fill="FFFFFF"/>
            <w:vAlign w:val="center"/>
            <w:hideMark/>
          </w:tcPr>
          <w:p w14:paraId="4E9E00FC"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375</w:t>
            </w:r>
          </w:p>
        </w:tc>
        <w:tc>
          <w:tcPr>
            <w:tcW w:w="3027" w:type="dxa"/>
            <w:shd w:val="clear" w:color="000000" w:fill="FFFFFF"/>
            <w:vAlign w:val="center"/>
            <w:hideMark/>
          </w:tcPr>
          <w:p w14:paraId="4E9E00FD"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38.7%</w:t>
            </w:r>
          </w:p>
        </w:tc>
      </w:tr>
      <w:tr w:rsidR="006D68D4" w:rsidRPr="009E0050" w14:paraId="4E9E0102" w14:textId="77777777" w:rsidTr="00FF7866">
        <w:trPr>
          <w:cantSplit/>
          <w:trHeight w:val="414"/>
        </w:trPr>
        <w:tc>
          <w:tcPr>
            <w:tcW w:w="3026" w:type="dxa"/>
            <w:shd w:val="clear" w:color="000000" w:fill="FFFFFF"/>
            <w:vAlign w:val="center"/>
            <w:hideMark/>
          </w:tcPr>
          <w:p w14:paraId="4E9E00FF"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No</w:t>
            </w:r>
          </w:p>
        </w:tc>
        <w:tc>
          <w:tcPr>
            <w:tcW w:w="3027" w:type="dxa"/>
            <w:shd w:val="clear" w:color="000000" w:fill="FFFFFF"/>
            <w:vAlign w:val="center"/>
            <w:hideMark/>
          </w:tcPr>
          <w:p w14:paraId="4E9E0100"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125</w:t>
            </w:r>
          </w:p>
        </w:tc>
        <w:tc>
          <w:tcPr>
            <w:tcW w:w="3027" w:type="dxa"/>
            <w:shd w:val="clear" w:color="000000" w:fill="FFFFFF"/>
            <w:vAlign w:val="center"/>
            <w:hideMark/>
          </w:tcPr>
          <w:p w14:paraId="4E9E0101"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12.9%</w:t>
            </w:r>
          </w:p>
        </w:tc>
      </w:tr>
      <w:tr w:rsidR="006D68D4" w:rsidRPr="009E0050" w14:paraId="4E9E0106" w14:textId="77777777" w:rsidTr="00FF7866">
        <w:trPr>
          <w:cantSplit/>
          <w:trHeight w:val="414"/>
        </w:trPr>
        <w:tc>
          <w:tcPr>
            <w:tcW w:w="3026" w:type="dxa"/>
            <w:shd w:val="clear" w:color="000000" w:fill="FFFFFF"/>
            <w:vAlign w:val="center"/>
            <w:hideMark/>
          </w:tcPr>
          <w:p w14:paraId="4E9E0103"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Sometimes</w:t>
            </w:r>
          </w:p>
        </w:tc>
        <w:tc>
          <w:tcPr>
            <w:tcW w:w="3027" w:type="dxa"/>
            <w:shd w:val="clear" w:color="000000" w:fill="FFFFFF"/>
            <w:vAlign w:val="center"/>
            <w:hideMark/>
          </w:tcPr>
          <w:p w14:paraId="4E9E0104"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466</w:t>
            </w:r>
          </w:p>
        </w:tc>
        <w:tc>
          <w:tcPr>
            <w:tcW w:w="3027" w:type="dxa"/>
            <w:shd w:val="clear" w:color="000000" w:fill="FFFFFF"/>
            <w:vAlign w:val="center"/>
            <w:hideMark/>
          </w:tcPr>
          <w:p w14:paraId="4E9E0105"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48.1%</w:t>
            </w:r>
          </w:p>
        </w:tc>
      </w:tr>
      <w:tr w:rsidR="006D68D4" w:rsidRPr="009E0050" w14:paraId="4E9E0108" w14:textId="77777777" w:rsidTr="00FF7866">
        <w:trPr>
          <w:cantSplit/>
          <w:trHeight w:val="414"/>
        </w:trPr>
        <w:tc>
          <w:tcPr>
            <w:tcW w:w="9080" w:type="dxa"/>
            <w:gridSpan w:val="3"/>
            <w:shd w:val="clear" w:color="000000" w:fill="FFFFFF"/>
            <w:vAlign w:val="center"/>
            <w:hideMark/>
          </w:tcPr>
          <w:p w14:paraId="4E9E0107" w14:textId="77777777" w:rsidR="006D68D4" w:rsidRPr="009E0050" w:rsidRDefault="006D68D4" w:rsidP="00FF7866">
            <w:pPr>
              <w:spacing w:after="0" w:line="240" w:lineRule="auto"/>
              <w:rPr>
                <w:rFonts w:eastAsia="Times New Roman" w:cs="Calibri"/>
                <w:b/>
                <w:bCs/>
                <w:color w:val="000000"/>
                <w:lang w:eastAsia="en-GB"/>
              </w:rPr>
            </w:pPr>
            <w:r w:rsidRPr="009E0050">
              <w:rPr>
                <w:rFonts w:eastAsia="Times New Roman" w:cs="Calibri"/>
                <w:b/>
                <w:bCs/>
                <w:color w:val="000000"/>
                <w:lang w:eastAsia="en-GB"/>
              </w:rPr>
              <w:t>Is the complaints and feedback mechanism accessible to all groups (men, women, boys, girls, older people, persons with disabilities, ethnic minority groups, people living with HIV, etc…) in a confidential manner</w:t>
            </w:r>
          </w:p>
        </w:tc>
      </w:tr>
      <w:tr w:rsidR="006D68D4" w:rsidRPr="009E0050" w14:paraId="4E9E010C" w14:textId="77777777" w:rsidTr="00FF7866">
        <w:trPr>
          <w:cantSplit/>
          <w:trHeight w:val="414"/>
        </w:trPr>
        <w:tc>
          <w:tcPr>
            <w:tcW w:w="3026" w:type="dxa"/>
            <w:shd w:val="clear" w:color="000000" w:fill="FFFFFF"/>
            <w:vAlign w:val="center"/>
            <w:hideMark/>
          </w:tcPr>
          <w:p w14:paraId="4E9E0109"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lastRenderedPageBreak/>
              <w:t>At times</w:t>
            </w:r>
          </w:p>
        </w:tc>
        <w:tc>
          <w:tcPr>
            <w:tcW w:w="3027" w:type="dxa"/>
            <w:shd w:val="clear" w:color="000000" w:fill="FFFFFF"/>
            <w:vAlign w:val="center"/>
            <w:hideMark/>
          </w:tcPr>
          <w:p w14:paraId="4E9E010A"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265</w:t>
            </w:r>
          </w:p>
        </w:tc>
        <w:tc>
          <w:tcPr>
            <w:tcW w:w="3027" w:type="dxa"/>
            <w:shd w:val="clear" w:color="000000" w:fill="FFFFFF"/>
            <w:vAlign w:val="center"/>
            <w:hideMark/>
          </w:tcPr>
          <w:p w14:paraId="4E9E010B"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27.4%</w:t>
            </w:r>
          </w:p>
        </w:tc>
      </w:tr>
      <w:tr w:rsidR="006D68D4" w:rsidRPr="009E0050" w14:paraId="4E9E0110" w14:textId="77777777" w:rsidTr="00FF7866">
        <w:trPr>
          <w:cantSplit/>
          <w:trHeight w:val="414"/>
        </w:trPr>
        <w:tc>
          <w:tcPr>
            <w:tcW w:w="3026" w:type="dxa"/>
            <w:shd w:val="clear" w:color="000000" w:fill="FFFFFF"/>
            <w:vAlign w:val="center"/>
            <w:hideMark/>
          </w:tcPr>
          <w:p w14:paraId="4E9E010D"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No</w:t>
            </w:r>
          </w:p>
        </w:tc>
        <w:tc>
          <w:tcPr>
            <w:tcW w:w="3027" w:type="dxa"/>
            <w:shd w:val="clear" w:color="000000" w:fill="FFFFFF"/>
            <w:vAlign w:val="center"/>
            <w:hideMark/>
          </w:tcPr>
          <w:p w14:paraId="4E9E010E"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107</w:t>
            </w:r>
          </w:p>
        </w:tc>
        <w:tc>
          <w:tcPr>
            <w:tcW w:w="3027" w:type="dxa"/>
            <w:shd w:val="clear" w:color="000000" w:fill="FFFFFF"/>
            <w:vAlign w:val="center"/>
            <w:hideMark/>
          </w:tcPr>
          <w:p w14:paraId="4E9E010F"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11.1%</w:t>
            </w:r>
          </w:p>
        </w:tc>
      </w:tr>
      <w:tr w:rsidR="006D68D4" w:rsidRPr="009E0050" w14:paraId="4E9E0114" w14:textId="77777777" w:rsidTr="00FF7866">
        <w:trPr>
          <w:cantSplit/>
          <w:trHeight w:val="414"/>
        </w:trPr>
        <w:tc>
          <w:tcPr>
            <w:tcW w:w="3026" w:type="dxa"/>
            <w:shd w:val="clear" w:color="000000" w:fill="FFFFFF"/>
            <w:vAlign w:val="center"/>
            <w:hideMark/>
          </w:tcPr>
          <w:p w14:paraId="4E9E0111"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Yes, to all groups</w:t>
            </w:r>
          </w:p>
        </w:tc>
        <w:tc>
          <w:tcPr>
            <w:tcW w:w="3027" w:type="dxa"/>
            <w:shd w:val="clear" w:color="000000" w:fill="FFFFFF"/>
            <w:vAlign w:val="center"/>
            <w:hideMark/>
          </w:tcPr>
          <w:p w14:paraId="4E9E0112"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594</w:t>
            </w:r>
          </w:p>
        </w:tc>
        <w:tc>
          <w:tcPr>
            <w:tcW w:w="3027" w:type="dxa"/>
            <w:shd w:val="clear" w:color="000000" w:fill="FFFFFF"/>
            <w:vAlign w:val="center"/>
            <w:hideMark/>
          </w:tcPr>
          <w:p w14:paraId="4E9E0113"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61.4%</w:t>
            </w:r>
          </w:p>
        </w:tc>
      </w:tr>
      <w:tr w:rsidR="006D68D4" w:rsidRPr="009E0050" w14:paraId="4E9E0116" w14:textId="77777777" w:rsidTr="00FF7866">
        <w:trPr>
          <w:cantSplit/>
          <w:trHeight w:val="414"/>
        </w:trPr>
        <w:tc>
          <w:tcPr>
            <w:tcW w:w="9080" w:type="dxa"/>
            <w:gridSpan w:val="3"/>
            <w:shd w:val="clear" w:color="000000" w:fill="FFFFFF"/>
            <w:vAlign w:val="center"/>
            <w:hideMark/>
          </w:tcPr>
          <w:p w14:paraId="4E9E0115" w14:textId="77777777" w:rsidR="006D68D4" w:rsidRPr="009E0050" w:rsidRDefault="006D68D4" w:rsidP="00FF7866">
            <w:pPr>
              <w:spacing w:after="0" w:line="240" w:lineRule="auto"/>
              <w:rPr>
                <w:rFonts w:eastAsia="Times New Roman" w:cs="Calibri"/>
                <w:b/>
                <w:bCs/>
                <w:color w:val="000000"/>
                <w:lang w:eastAsia="en-GB"/>
              </w:rPr>
            </w:pPr>
            <w:r w:rsidRPr="009E0050">
              <w:rPr>
                <w:rFonts w:eastAsia="Times New Roman" w:cs="Calibri"/>
                <w:b/>
                <w:bCs/>
                <w:color w:val="000000"/>
                <w:lang w:eastAsia="en-GB"/>
              </w:rPr>
              <w:t>Have local authorities and the community regularly been consulted and involved in your project?</w:t>
            </w:r>
          </w:p>
        </w:tc>
      </w:tr>
      <w:tr w:rsidR="006D68D4" w:rsidRPr="009E0050" w14:paraId="4E9E011A" w14:textId="77777777" w:rsidTr="00FF7866">
        <w:trPr>
          <w:cantSplit/>
          <w:trHeight w:val="414"/>
        </w:trPr>
        <w:tc>
          <w:tcPr>
            <w:tcW w:w="3026" w:type="dxa"/>
            <w:shd w:val="clear" w:color="000000" w:fill="FFFFFF"/>
            <w:vAlign w:val="center"/>
            <w:hideMark/>
          </w:tcPr>
          <w:p w14:paraId="4E9E0117"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No</w:t>
            </w:r>
          </w:p>
        </w:tc>
        <w:tc>
          <w:tcPr>
            <w:tcW w:w="3027" w:type="dxa"/>
            <w:shd w:val="clear" w:color="000000" w:fill="FFFFFF"/>
            <w:vAlign w:val="center"/>
            <w:hideMark/>
          </w:tcPr>
          <w:p w14:paraId="4E9E0118"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88</w:t>
            </w:r>
          </w:p>
        </w:tc>
        <w:tc>
          <w:tcPr>
            <w:tcW w:w="3027" w:type="dxa"/>
            <w:shd w:val="clear" w:color="000000" w:fill="FFFFFF"/>
            <w:vAlign w:val="center"/>
            <w:hideMark/>
          </w:tcPr>
          <w:p w14:paraId="4E9E0119"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9.1%</w:t>
            </w:r>
          </w:p>
        </w:tc>
      </w:tr>
      <w:tr w:rsidR="006D68D4" w:rsidRPr="009E0050" w14:paraId="4E9E011E" w14:textId="77777777" w:rsidTr="00FF7866">
        <w:trPr>
          <w:cantSplit/>
          <w:trHeight w:val="414"/>
        </w:trPr>
        <w:tc>
          <w:tcPr>
            <w:tcW w:w="3026" w:type="dxa"/>
            <w:shd w:val="clear" w:color="000000" w:fill="FFFFFF"/>
            <w:vAlign w:val="center"/>
            <w:hideMark/>
          </w:tcPr>
          <w:p w14:paraId="4E9E011B"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Partially</w:t>
            </w:r>
          </w:p>
        </w:tc>
        <w:tc>
          <w:tcPr>
            <w:tcW w:w="3027" w:type="dxa"/>
            <w:shd w:val="clear" w:color="000000" w:fill="FFFFFF"/>
            <w:vAlign w:val="center"/>
            <w:hideMark/>
          </w:tcPr>
          <w:p w14:paraId="4E9E011C"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398</w:t>
            </w:r>
          </w:p>
        </w:tc>
        <w:tc>
          <w:tcPr>
            <w:tcW w:w="3027" w:type="dxa"/>
            <w:shd w:val="clear" w:color="000000" w:fill="FFFFFF"/>
            <w:vAlign w:val="center"/>
            <w:hideMark/>
          </w:tcPr>
          <w:p w14:paraId="4E9E011D"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41.1%</w:t>
            </w:r>
          </w:p>
        </w:tc>
      </w:tr>
      <w:tr w:rsidR="006D68D4" w:rsidRPr="009E0050" w14:paraId="4E9E0122" w14:textId="77777777" w:rsidTr="00FF7866">
        <w:trPr>
          <w:cantSplit/>
          <w:trHeight w:val="414"/>
        </w:trPr>
        <w:tc>
          <w:tcPr>
            <w:tcW w:w="3026" w:type="dxa"/>
            <w:shd w:val="clear" w:color="000000" w:fill="FFFFFF"/>
            <w:vAlign w:val="center"/>
            <w:hideMark/>
          </w:tcPr>
          <w:p w14:paraId="4E9E011F"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Yes</w:t>
            </w:r>
          </w:p>
        </w:tc>
        <w:tc>
          <w:tcPr>
            <w:tcW w:w="3027" w:type="dxa"/>
            <w:shd w:val="clear" w:color="000000" w:fill="FFFFFF"/>
            <w:vAlign w:val="center"/>
            <w:hideMark/>
          </w:tcPr>
          <w:p w14:paraId="4E9E0120"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480</w:t>
            </w:r>
          </w:p>
        </w:tc>
        <w:tc>
          <w:tcPr>
            <w:tcW w:w="3027" w:type="dxa"/>
            <w:shd w:val="clear" w:color="000000" w:fill="FFFFFF"/>
            <w:vAlign w:val="center"/>
            <w:hideMark/>
          </w:tcPr>
          <w:p w14:paraId="4E9E0121"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49.6%</w:t>
            </w:r>
          </w:p>
        </w:tc>
      </w:tr>
      <w:tr w:rsidR="006D68D4" w:rsidRPr="009E0050" w14:paraId="4E9E0124" w14:textId="77777777" w:rsidTr="00FF7866">
        <w:trPr>
          <w:cantSplit/>
          <w:trHeight w:val="414"/>
        </w:trPr>
        <w:tc>
          <w:tcPr>
            <w:tcW w:w="9080" w:type="dxa"/>
            <w:gridSpan w:val="3"/>
            <w:shd w:val="clear" w:color="000000" w:fill="FFFFFF"/>
            <w:vAlign w:val="center"/>
            <w:hideMark/>
          </w:tcPr>
          <w:p w14:paraId="4E9E0123" w14:textId="77777777" w:rsidR="006D68D4" w:rsidRPr="009E0050" w:rsidRDefault="006D68D4" w:rsidP="00FF7866">
            <w:pPr>
              <w:spacing w:after="0" w:line="240" w:lineRule="auto"/>
              <w:rPr>
                <w:rFonts w:eastAsia="Times New Roman" w:cs="Calibri"/>
                <w:b/>
                <w:bCs/>
                <w:color w:val="000000"/>
                <w:lang w:eastAsia="en-GB"/>
              </w:rPr>
            </w:pPr>
            <w:r w:rsidRPr="009E0050">
              <w:rPr>
                <w:rFonts w:eastAsia="Times New Roman" w:cs="Calibri"/>
                <w:b/>
                <w:bCs/>
                <w:color w:val="000000"/>
                <w:lang w:eastAsia="en-GB"/>
              </w:rPr>
              <w:t>Were beneficiaries informed on their rights and obligations as recipient of humanitarian aid, as part of accessing WASH and ICLA services? </w:t>
            </w:r>
          </w:p>
        </w:tc>
      </w:tr>
      <w:tr w:rsidR="006D68D4" w:rsidRPr="009E0050" w14:paraId="4E9E0128" w14:textId="77777777" w:rsidTr="00FF7866">
        <w:trPr>
          <w:cantSplit/>
          <w:trHeight w:val="414"/>
        </w:trPr>
        <w:tc>
          <w:tcPr>
            <w:tcW w:w="3026" w:type="dxa"/>
            <w:shd w:val="clear" w:color="000000" w:fill="FFFFFF"/>
            <w:vAlign w:val="center"/>
            <w:hideMark/>
          </w:tcPr>
          <w:p w14:paraId="4E9E0125"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No</w:t>
            </w:r>
          </w:p>
        </w:tc>
        <w:tc>
          <w:tcPr>
            <w:tcW w:w="3027" w:type="dxa"/>
            <w:shd w:val="clear" w:color="000000" w:fill="FFFFFF"/>
            <w:vAlign w:val="center"/>
            <w:hideMark/>
          </w:tcPr>
          <w:p w14:paraId="4E9E0126"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159</w:t>
            </w:r>
          </w:p>
        </w:tc>
        <w:tc>
          <w:tcPr>
            <w:tcW w:w="3027" w:type="dxa"/>
            <w:shd w:val="clear" w:color="000000" w:fill="FFFFFF"/>
            <w:vAlign w:val="center"/>
            <w:hideMark/>
          </w:tcPr>
          <w:p w14:paraId="4E9E0127"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16.4%</w:t>
            </w:r>
          </w:p>
        </w:tc>
      </w:tr>
      <w:tr w:rsidR="006D68D4" w:rsidRPr="009E0050" w14:paraId="4E9E012C" w14:textId="77777777" w:rsidTr="00FF7866">
        <w:trPr>
          <w:cantSplit/>
          <w:trHeight w:val="414"/>
        </w:trPr>
        <w:tc>
          <w:tcPr>
            <w:tcW w:w="3026" w:type="dxa"/>
            <w:shd w:val="clear" w:color="000000" w:fill="FFFFFF"/>
            <w:vAlign w:val="center"/>
            <w:hideMark/>
          </w:tcPr>
          <w:p w14:paraId="4E9E0129"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Yes</w:t>
            </w:r>
          </w:p>
        </w:tc>
        <w:tc>
          <w:tcPr>
            <w:tcW w:w="3027" w:type="dxa"/>
            <w:shd w:val="clear" w:color="000000" w:fill="FFFFFF"/>
            <w:vAlign w:val="center"/>
            <w:hideMark/>
          </w:tcPr>
          <w:p w14:paraId="4E9E012A"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807</w:t>
            </w:r>
          </w:p>
        </w:tc>
        <w:tc>
          <w:tcPr>
            <w:tcW w:w="3027" w:type="dxa"/>
            <w:shd w:val="clear" w:color="000000" w:fill="FFFFFF"/>
            <w:vAlign w:val="center"/>
            <w:hideMark/>
          </w:tcPr>
          <w:p w14:paraId="4E9E012B"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83.4%</w:t>
            </w:r>
          </w:p>
        </w:tc>
      </w:tr>
      <w:tr w:rsidR="006D68D4" w:rsidRPr="009E0050" w14:paraId="4E9E012E" w14:textId="77777777" w:rsidTr="00FF7866">
        <w:trPr>
          <w:cantSplit/>
          <w:trHeight w:val="414"/>
        </w:trPr>
        <w:tc>
          <w:tcPr>
            <w:tcW w:w="9080" w:type="dxa"/>
            <w:gridSpan w:val="3"/>
            <w:shd w:val="clear" w:color="000000" w:fill="FFFFFF"/>
            <w:vAlign w:val="center"/>
            <w:hideMark/>
          </w:tcPr>
          <w:p w14:paraId="4E9E012D" w14:textId="77777777" w:rsidR="006D68D4" w:rsidRPr="009E0050" w:rsidRDefault="006D68D4" w:rsidP="00FF7866">
            <w:pPr>
              <w:spacing w:after="0" w:line="240" w:lineRule="auto"/>
              <w:rPr>
                <w:rFonts w:eastAsia="Times New Roman" w:cs="Calibri"/>
                <w:b/>
                <w:bCs/>
                <w:color w:val="000000"/>
                <w:lang w:eastAsia="en-GB"/>
              </w:rPr>
            </w:pPr>
            <w:r w:rsidRPr="009E0050">
              <w:rPr>
                <w:rFonts w:eastAsia="Times New Roman" w:cs="Calibri"/>
                <w:b/>
                <w:bCs/>
                <w:color w:val="000000"/>
                <w:lang w:eastAsia="en-GB"/>
              </w:rPr>
              <w:t>Did the community understand how beneficiaries were selected and which were the targeting criteria for WASH project?</w:t>
            </w:r>
          </w:p>
        </w:tc>
      </w:tr>
      <w:tr w:rsidR="006D68D4" w:rsidRPr="009E0050" w14:paraId="4E9E0132" w14:textId="77777777" w:rsidTr="00FF7866">
        <w:trPr>
          <w:cantSplit/>
          <w:trHeight w:val="414"/>
        </w:trPr>
        <w:tc>
          <w:tcPr>
            <w:tcW w:w="3026" w:type="dxa"/>
            <w:shd w:val="clear" w:color="000000" w:fill="FFFFFF"/>
            <w:vAlign w:val="center"/>
            <w:hideMark/>
          </w:tcPr>
          <w:p w14:paraId="4E9E012F"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Did not understand</w:t>
            </w:r>
          </w:p>
        </w:tc>
        <w:tc>
          <w:tcPr>
            <w:tcW w:w="3027" w:type="dxa"/>
            <w:shd w:val="clear" w:color="000000" w:fill="FFFFFF"/>
            <w:vAlign w:val="center"/>
            <w:hideMark/>
          </w:tcPr>
          <w:p w14:paraId="4E9E0130"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105</w:t>
            </w:r>
          </w:p>
        </w:tc>
        <w:tc>
          <w:tcPr>
            <w:tcW w:w="3027" w:type="dxa"/>
            <w:shd w:val="clear" w:color="000000" w:fill="FFFFFF"/>
            <w:vAlign w:val="center"/>
            <w:hideMark/>
          </w:tcPr>
          <w:p w14:paraId="4E9E0131"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10.8%</w:t>
            </w:r>
          </w:p>
        </w:tc>
      </w:tr>
      <w:tr w:rsidR="006D68D4" w:rsidRPr="009E0050" w14:paraId="4E9E0136" w14:textId="77777777" w:rsidTr="00FF7866">
        <w:trPr>
          <w:cantSplit/>
          <w:trHeight w:val="414"/>
        </w:trPr>
        <w:tc>
          <w:tcPr>
            <w:tcW w:w="3026" w:type="dxa"/>
            <w:shd w:val="clear" w:color="000000" w:fill="FFFFFF"/>
            <w:vAlign w:val="center"/>
            <w:hideMark/>
          </w:tcPr>
          <w:p w14:paraId="4E9E0133"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Fully understood</w:t>
            </w:r>
          </w:p>
        </w:tc>
        <w:tc>
          <w:tcPr>
            <w:tcW w:w="3027" w:type="dxa"/>
            <w:shd w:val="clear" w:color="000000" w:fill="FFFFFF"/>
            <w:vAlign w:val="center"/>
            <w:hideMark/>
          </w:tcPr>
          <w:p w14:paraId="4E9E0134"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459</w:t>
            </w:r>
          </w:p>
        </w:tc>
        <w:tc>
          <w:tcPr>
            <w:tcW w:w="3027" w:type="dxa"/>
            <w:shd w:val="clear" w:color="000000" w:fill="FFFFFF"/>
            <w:vAlign w:val="center"/>
            <w:hideMark/>
          </w:tcPr>
          <w:p w14:paraId="4E9E0135"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47.4%</w:t>
            </w:r>
          </w:p>
        </w:tc>
      </w:tr>
      <w:tr w:rsidR="006D68D4" w:rsidRPr="009E0050" w14:paraId="4E9E013A" w14:textId="77777777" w:rsidTr="00FF7866">
        <w:trPr>
          <w:cantSplit/>
          <w:trHeight w:val="414"/>
        </w:trPr>
        <w:tc>
          <w:tcPr>
            <w:tcW w:w="3026" w:type="dxa"/>
            <w:shd w:val="clear" w:color="000000" w:fill="FFFFFF"/>
            <w:vAlign w:val="center"/>
            <w:hideMark/>
          </w:tcPr>
          <w:p w14:paraId="4E9E0137" w14:textId="77777777" w:rsidR="006D68D4" w:rsidRPr="009E0050" w:rsidRDefault="006D68D4" w:rsidP="00FF7866">
            <w:pPr>
              <w:spacing w:after="0" w:line="240" w:lineRule="auto"/>
              <w:rPr>
                <w:rFonts w:eastAsia="Times New Roman" w:cs="Calibri"/>
                <w:color w:val="000000"/>
                <w:lang w:eastAsia="en-GB"/>
              </w:rPr>
            </w:pPr>
            <w:r w:rsidRPr="009E0050">
              <w:rPr>
                <w:rFonts w:eastAsia="Times New Roman" w:cs="Calibri"/>
                <w:color w:val="000000"/>
                <w:lang w:eastAsia="en-GB"/>
              </w:rPr>
              <w:t>Partially understood</w:t>
            </w:r>
          </w:p>
        </w:tc>
        <w:tc>
          <w:tcPr>
            <w:tcW w:w="3027" w:type="dxa"/>
            <w:shd w:val="clear" w:color="000000" w:fill="FFFFFF"/>
            <w:vAlign w:val="center"/>
            <w:hideMark/>
          </w:tcPr>
          <w:p w14:paraId="4E9E0138"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402</w:t>
            </w:r>
          </w:p>
        </w:tc>
        <w:tc>
          <w:tcPr>
            <w:tcW w:w="3027" w:type="dxa"/>
            <w:shd w:val="clear" w:color="000000" w:fill="FFFFFF"/>
            <w:vAlign w:val="center"/>
            <w:hideMark/>
          </w:tcPr>
          <w:p w14:paraId="4E9E0139" w14:textId="77777777" w:rsidR="006D68D4" w:rsidRPr="009E0050" w:rsidRDefault="006D68D4" w:rsidP="00FF7866">
            <w:pPr>
              <w:spacing w:after="0" w:line="240" w:lineRule="auto"/>
              <w:jc w:val="right"/>
              <w:rPr>
                <w:rFonts w:eastAsia="Times New Roman" w:cs="Calibri"/>
                <w:color w:val="000000"/>
                <w:lang w:eastAsia="en-GB"/>
              </w:rPr>
            </w:pPr>
            <w:r w:rsidRPr="009E0050">
              <w:rPr>
                <w:rFonts w:eastAsia="Times New Roman" w:cs="Calibri"/>
                <w:color w:val="000000"/>
                <w:lang w:eastAsia="en-GB"/>
              </w:rPr>
              <w:t>41.5%</w:t>
            </w:r>
          </w:p>
        </w:tc>
      </w:tr>
    </w:tbl>
    <w:p w14:paraId="4E9E013B" w14:textId="77777777" w:rsidR="00BF0253" w:rsidRPr="009E0050" w:rsidRDefault="00BF0253" w:rsidP="006D68D4">
      <w:pPr>
        <w:jc w:val="left"/>
        <w:rPr>
          <w:rFonts w:cs="Calibri"/>
        </w:rPr>
      </w:pPr>
    </w:p>
    <w:p w14:paraId="4E9E013C" w14:textId="77777777" w:rsidR="00BF0253" w:rsidRPr="009E0050" w:rsidRDefault="00BF0253" w:rsidP="006D68D4">
      <w:pPr>
        <w:jc w:val="left"/>
        <w:rPr>
          <w:rFonts w:cs="Calibri"/>
        </w:rPr>
      </w:pPr>
      <w:r w:rsidRPr="009E0050">
        <w:rPr>
          <w:rFonts w:cs="Calibri"/>
        </w:rPr>
        <w:t>The survey sought to find out from the respondents on their perception with regards to responsiveness of the project implementation teams to the beneficiary concerns as a means of ensuring the project was implemented in a safe manner.  The findings were cross tabulated and the findings are presented below:</w:t>
      </w:r>
    </w:p>
    <w:p w14:paraId="4E9E013D" w14:textId="77777777" w:rsidR="00BF0253" w:rsidRDefault="00BF0253" w:rsidP="00BF0253">
      <w:pPr>
        <w:pStyle w:val="Heading2"/>
      </w:pPr>
      <w:bookmarkStart w:id="52" w:name="_Toc29286149"/>
      <w:bookmarkStart w:id="53" w:name="_Toc29286321"/>
      <w:r>
        <w:t>Table 8: Safe Project Implementation</w:t>
      </w:r>
      <w:bookmarkEnd w:id="52"/>
      <w:bookmarkEnd w:id="5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1"/>
        <w:gridCol w:w="2245"/>
        <w:gridCol w:w="1701"/>
        <w:gridCol w:w="1503"/>
        <w:gridCol w:w="1346"/>
        <w:gridCol w:w="1090"/>
      </w:tblGrid>
      <w:tr w:rsidR="004D57D2" w:rsidRPr="009E0050" w14:paraId="4E9E0141" w14:textId="77777777" w:rsidTr="00B47F2C">
        <w:trPr>
          <w:trHeight w:val="315"/>
        </w:trPr>
        <w:tc>
          <w:tcPr>
            <w:tcW w:w="2055" w:type="pct"/>
            <w:gridSpan w:val="2"/>
            <w:vMerge w:val="restart"/>
            <w:shd w:val="clear" w:color="auto" w:fill="auto"/>
            <w:vAlign w:val="bottom"/>
            <w:hideMark/>
          </w:tcPr>
          <w:p w14:paraId="4E9E013E" w14:textId="77777777" w:rsidR="00B47F2C" w:rsidRPr="009E0050" w:rsidRDefault="00B47F2C" w:rsidP="00B47F2C">
            <w:pPr>
              <w:spacing w:after="0" w:line="240" w:lineRule="auto"/>
              <w:jc w:val="left"/>
              <w:rPr>
                <w:rFonts w:eastAsia="Times New Roman" w:cs="Arial"/>
                <w:color w:val="000000"/>
                <w:lang w:val="en-GB" w:eastAsia="en-GB"/>
              </w:rPr>
            </w:pPr>
            <w:r w:rsidRPr="009E0050">
              <w:rPr>
                <w:rFonts w:eastAsia="Times New Roman" w:cs="Arial"/>
                <w:color w:val="000000"/>
                <w:lang w:val="en-GB" w:eastAsia="en-GB"/>
              </w:rPr>
              <w:t> </w:t>
            </w:r>
          </w:p>
        </w:tc>
        <w:tc>
          <w:tcPr>
            <w:tcW w:w="2376" w:type="pct"/>
            <w:gridSpan w:val="3"/>
            <w:shd w:val="clear" w:color="auto" w:fill="auto"/>
            <w:vAlign w:val="center"/>
            <w:hideMark/>
          </w:tcPr>
          <w:p w14:paraId="4E9E013F" w14:textId="77777777" w:rsidR="00B47F2C" w:rsidRPr="009E0050" w:rsidRDefault="00B47F2C" w:rsidP="00B47F2C">
            <w:pPr>
              <w:spacing w:after="0" w:line="240" w:lineRule="auto"/>
              <w:jc w:val="left"/>
              <w:rPr>
                <w:rFonts w:eastAsia="Times New Roman" w:cs="Arial"/>
                <w:b/>
                <w:color w:val="000000"/>
                <w:lang w:val="en-GB" w:eastAsia="en-GB"/>
              </w:rPr>
            </w:pPr>
            <w:r w:rsidRPr="009E0050">
              <w:rPr>
                <w:rFonts w:eastAsia="Times New Roman" w:cs="Arial"/>
                <w:b/>
                <w:color w:val="000000"/>
                <w:lang w:val="en-GB" w:eastAsia="en-GB"/>
              </w:rPr>
              <w:t>Are the complaints/feedback been responded to or forwarded to the appropriate actor?</w:t>
            </w:r>
          </w:p>
        </w:tc>
        <w:tc>
          <w:tcPr>
            <w:tcW w:w="569" w:type="pct"/>
            <w:vMerge w:val="restart"/>
            <w:shd w:val="clear" w:color="auto" w:fill="auto"/>
            <w:vAlign w:val="bottom"/>
            <w:hideMark/>
          </w:tcPr>
          <w:p w14:paraId="4E9E0140" w14:textId="77777777" w:rsidR="00B47F2C" w:rsidRPr="009E0050" w:rsidRDefault="00B47F2C" w:rsidP="00B47F2C">
            <w:pPr>
              <w:spacing w:after="0" w:line="240" w:lineRule="auto"/>
              <w:jc w:val="center"/>
              <w:rPr>
                <w:rFonts w:eastAsia="Times New Roman" w:cs="Arial"/>
                <w:color w:val="000000"/>
                <w:lang w:val="en-GB" w:eastAsia="en-GB"/>
              </w:rPr>
            </w:pPr>
            <w:r w:rsidRPr="009E0050">
              <w:rPr>
                <w:rFonts w:eastAsia="Times New Roman" w:cs="Arial"/>
                <w:color w:val="000000"/>
                <w:lang w:val="en-GB" w:eastAsia="en-GB"/>
              </w:rPr>
              <w:t>Total</w:t>
            </w:r>
          </w:p>
        </w:tc>
      </w:tr>
      <w:tr w:rsidR="00B47F2C" w:rsidRPr="009E0050" w14:paraId="4E9E0147" w14:textId="77777777" w:rsidTr="00B47F2C">
        <w:trPr>
          <w:trHeight w:val="510"/>
        </w:trPr>
        <w:tc>
          <w:tcPr>
            <w:tcW w:w="2055" w:type="pct"/>
            <w:gridSpan w:val="2"/>
            <w:vMerge/>
            <w:vAlign w:val="center"/>
            <w:hideMark/>
          </w:tcPr>
          <w:p w14:paraId="4E9E0142" w14:textId="77777777" w:rsidR="00B47F2C" w:rsidRPr="009E0050" w:rsidRDefault="00B47F2C" w:rsidP="00B47F2C">
            <w:pPr>
              <w:spacing w:after="0" w:line="240" w:lineRule="auto"/>
              <w:jc w:val="left"/>
              <w:rPr>
                <w:rFonts w:eastAsia="Times New Roman" w:cs="Arial"/>
                <w:color w:val="000000"/>
                <w:lang w:val="en-GB" w:eastAsia="en-GB"/>
              </w:rPr>
            </w:pPr>
          </w:p>
        </w:tc>
        <w:tc>
          <w:tcPr>
            <w:tcW w:w="888" w:type="pct"/>
            <w:shd w:val="clear" w:color="auto" w:fill="auto"/>
            <w:vAlign w:val="bottom"/>
            <w:hideMark/>
          </w:tcPr>
          <w:p w14:paraId="4E9E0143" w14:textId="77777777" w:rsidR="00B47F2C" w:rsidRPr="009E0050" w:rsidRDefault="00B47F2C" w:rsidP="00B47F2C">
            <w:pPr>
              <w:spacing w:after="0" w:line="240" w:lineRule="auto"/>
              <w:jc w:val="center"/>
              <w:rPr>
                <w:rFonts w:eastAsia="Times New Roman" w:cs="Arial"/>
                <w:b/>
                <w:color w:val="000000"/>
                <w:lang w:val="en-GB" w:eastAsia="en-GB"/>
              </w:rPr>
            </w:pPr>
            <w:r w:rsidRPr="009E0050">
              <w:rPr>
                <w:rFonts w:eastAsia="Times New Roman" w:cs="Arial"/>
                <w:b/>
                <w:color w:val="000000"/>
                <w:lang w:val="en-GB" w:eastAsia="en-GB"/>
              </w:rPr>
              <w:t>Always</w:t>
            </w:r>
          </w:p>
        </w:tc>
        <w:tc>
          <w:tcPr>
            <w:tcW w:w="785" w:type="pct"/>
            <w:shd w:val="clear" w:color="auto" w:fill="auto"/>
            <w:vAlign w:val="bottom"/>
            <w:hideMark/>
          </w:tcPr>
          <w:p w14:paraId="4E9E0144" w14:textId="77777777" w:rsidR="00B47F2C" w:rsidRPr="009E0050" w:rsidRDefault="00B47F2C" w:rsidP="00B47F2C">
            <w:pPr>
              <w:spacing w:after="0" w:line="240" w:lineRule="auto"/>
              <w:jc w:val="center"/>
              <w:rPr>
                <w:rFonts w:eastAsia="Times New Roman" w:cs="Arial"/>
                <w:b/>
                <w:color w:val="000000"/>
                <w:lang w:val="en-GB" w:eastAsia="en-GB"/>
              </w:rPr>
            </w:pPr>
            <w:r w:rsidRPr="009E0050">
              <w:rPr>
                <w:rFonts w:eastAsia="Times New Roman" w:cs="Arial"/>
                <w:b/>
                <w:color w:val="000000"/>
                <w:lang w:val="en-GB" w:eastAsia="en-GB"/>
              </w:rPr>
              <w:t>No</w:t>
            </w:r>
          </w:p>
        </w:tc>
        <w:tc>
          <w:tcPr>
            <w:tcW w:w="703" w:type="pct"/>
            <w:shd w:val="clear" w:color="auto" w:fill="auto"/>
            <w:vAlign w:val="bottom"/>
            <w:hideMark/>
          </w:tcPr>
          <w:p w14:paraId="4E9E0145" w14:textId="77777777" w:rsidR="00B47F2C" w:rsidRPr="009E0050" w:rsidRDefault="00B47F2C" w:rsidP="00B47F2C">
            <w:pPr>
              <w:spacing w:after="0" w:line="240" w:lineRule="auto"/>
              <w:jc w:val="center"/>
              <w:rPr>
                <w:rFonts w:eastAsia="Times New Roman" w:cs="Arial"/>
                <w:b/>
                <w:color w:val="000000"/>
                <w:lang w:val="en-GB" w:eastAsia="en-GB"/>
              </w:rPr>
            </w:pPr>
            <w:r w:rsidRPr="009E0050">
              <w:rPr>
                <w:rFonts w:eastAsia="Times New Roman" w:cs="Arial"/>
                <w:b/>
                <w:color w:val="000000"/>
                <w:lang w:val="en-GB" w:eastAsia="en-GB"/>
              </w:rPr>
              <w:t>Sometimes</w:t>
            </w:r>
          </w:p>
        </w:tc>
        <w:tc>
          <w:tcPr>
            <w:tcW w:w="569" w:type="pct"/>
            <w:vMerge/>
            <w:vAlign w:val="center"/>
            <w:hideMark/>
          </w:tcPr>
          <w:p w14:paraId="4E9E0146" w14:textId="77777777" w:rsidR="00B47F2C" w:rsidRPr="009E0050" w:rsidRDefault="00B47F2C" w:rsidP="00B47F2C">
            <w:pPr>
              <w:spacing w:after="0" w:line="240" w:lineRule="auto"/>
              <w:jc w:val="left"/>
              <w:rPr>
                <w:rFonts w:eastAsia="Times New Roman" w:cs="Arial"/>
                <w:color w:val="000000"/>
                <w:lang w:val="en-GB" w:eastAsia="en-GB"/>
              </w:rPr>
            </w:pPr>
          </w:p>
        </w:tc>
      </w:tr>
      <w:tr w:rsidR="00B47F2C" w:rsidRPr="009E0050" w14:paraId="4E9E014E" w14:textId="77777777" w:rsidTr="00B47F2C">
        <w:trPr>
          <w:trHeight w:val="415"/>
        </w:trPr>
        <w:tc>
          <w:tcPr>
            <w:tcW w:w="883" w:type="pct"/>
            <w:vMerge w:val="restart"/>
            <w:shd w:val="clear" w:color="auto" w:fill="auto"/>
            <w:vAlign w:val="center"/>
            <w:hideMark/>
          </w:tcPr>
          <w:p w14:paraId="4E9E0148" w14:textId="77777777" w:rsidR="00B47F2C" w:rsidRPr="009E0050" w:rsidRDefault="00B47F2C" w:rsidP="00B47F2C">
            <w:pPr>
              <w:spacing w:after="0" w:line="240" w:lineRule="auto"/>
              <w:jc w:val="left"/>
              <w:rPr>
                <w:rFonts w:eastAsia="Times New Roman" w:cs="Arial"/>
                <w:b/>
                <w:color w:val="000000"/>
                <w:lang w:val="en-GB" w:eastAsia="en-GB"/>
              </w:rPr>
            </w:pPr>
            <w:r w:rsidRPr="009E0050">
              <w:rPr>
                <w:rFonts w:eastAsia="Times New Roman" w:cs="Arial"/>
                <w:b/>
                <w:color w:val="000000"/>
                <w:lang w:val="en-GB" w:eastAsia="en-GB"/>
              </w:rPr>
              <w:t>Are you aware of how to place feedback and complaints of protection cases?</w:t>
            </w:r>
          </w:p>
        </w:tc>
        <w:tc>
          <w:tcPr>
            <w:tcW w:w="1172" w:type="pct"/>
            <w:shd w:val="clear" w:color="auto" w:fill="auto"/>
            <w:hideMark/>
          </w:tcPr>
          <w:p w14:paraId="4E9E0149" w14:textId="77777777" w:rsidR="00B47F2C" w:rsidRPr="009E0050" w:rsidRDefault="00B47F2C" w:rsidP="00B47F2C">
            <w:pPr>
              <w:spacing w:after="0" w:line="240" w:lineRule="auto"/>
              <w:jc w:val="left"/>
              <w:rPr>
                <w:rFonts w:eastAsia="Times New Roman" w:cs="Arial"/>
                <w:b/>
                <w:color w:val="000000"/>
                <w:lang w:val="en-GB" w:eastAsia="en-GB"/>
              </w:rPr>
            </w:pPr>
            <w:r w:rsidRPr="009E0050">
              <w:rPr>
                <w:rFonts w:eastAsia="Times New Roman" w:cs="Arial"/>
                <w:b/>
                <w:color w:val="000000"/>
                <w:lang w:val="en-GB" w:eastAsia="en-GB"/>
              </w:rPr>
              <w:t>Fully aware (90% of them)</w:t>
            </w:r>
          </w:p>
        </w:tc>
        <w:tc>
          <w:tcPr>
            <w:tcW w:w="888" w:type="pct"/>
            <w:shd w:val="clear" w:color="auto" w:fill="auto"/>
            <w:noWrap/>
            <w:hideMark/>
          </w:tcPr>
          <w:p w14:paraId="4E9E014A"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31.06%</w:t>
            </w:r>
          </w:p>
        </w:tc>
        <w:tc>
          <w:tcPr>
            <w:tcW w:w="785" w:type="pct"/>
            <w:shd w:val="clear" w:color="auto" w:fill="auto"/>
            <w:noWrap/>
            <w:hideMark/>
          </w:tcPr>
          <w:p w14:paraId="4E9E014B"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2.80%</w:t>
            </w:r>
          </w:p>
        </w:tc>
        <w:tc>
          <w:tcPr>
            <w:tcW w:w="703" w:type="pct"/>
            <w:shd w:val="clear" w:color="auto" w:fill="auto"/>
            <w:noWrap/>
            <w:hideMark/>
          </w:tcPr>
          <w:p w14:paraId="4E9E014C"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5.18%</w:t>
            </w:r>
          </w:p>
        </w:tc>
        <w:tc>
          <w:tcPr>
            <w:tcW w:w="569" w:type="pct"/>
            <w:shd w:val="clear" w:color="auto" w:fill="auto"/>
            <w:noWrap/>
            <w:hideMark/>
          </w:tcPr>
          <w:p w14:paraId="4E9E014D"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39.03%</w:t>
            </w:r>
          </w:p>
        </w:tc>
      </w:tr>
      <w:tr w:rsidR="00B47F2C" w:rsidRPr="009E0050" w14:paraId="4E9E0155" w14:textId="77777777" w:rsidTr="00B47F2C">
        <w:trPr>
          <w:trHeight w:val="578"/>
        </w:trPr>
        <w:tc>
          <w:tcPr>
            <w:tcW w:w="883" w:type="pct"/>
            <w:vMerge/>
            <w:vAlign w:val="center"/>
            <w:hideMark/>
          </w:tcPr>
          <w:p w14:paraId="4E9E014F" w14:textId="77777777" w:rsidR="00B47F2C" w:rsidRPr="009E0050" w:rsidRDefault="00B47F2C" w:rsidP="00B47F2C">
            <w:pPr>
              <w:spacing w:after="0" w:line="240" w:lineRule="auto"/>
              <w:jc w:val="left"/>
              <w:rPr>
                <w:rFonts w:eastAsia="Times New Roman" w:cs="Arial"/>
                <w:b/>
                <w:color w:val="000000"/>
                <w:lang w:val="en-GB" w:eastAsia="en-GB"/>
              </w:rPr>
            </w:pPr>
          </w:p>
        </w:tc>
        <w:tc>
          <w:tcPr>
            <w:tcW w:w="1172" w:type="pct"/>
            <w:shd w:val="clear" w:color="auto" w:fill="auto"/>
            <w:hideMark/>
          </w:tcPr>
          <w:p w14:paraId="4E9E0150" w14:textId="77777777" w:rsidR="00B47F2C" w:rsidRPr="009E0050" w:rsidRDefault="00B47F2C" w:rsidP="00B47F2C">
            <w:pPr>
              <w:spacing w:after="0" w:line="240" w:lineRule="auto"/>
              <w:jc w:val="left"/>
              <w:rPr>
                <w:rFonts w:eastAsia="Times New Roman" w:cs="Arial"/>
                <w:b/>
                <w:color w:val="000000"/>
                <w:lang w:val="en-GB" w:eastAsia="en-GB"/>
              </w:rPr>
            </w:pPr>
            <w:r w:rsidRPr="009E0050">
              <w:rPr>
                <w:rFonts w:eastAsia="Times New Roman" w:cs="Arial"/>
                <w:b/>
                <w:color w:val="000000"/>
                <w:lang w:val="en-GB" w:eastAsia="en-GB"/>
              </w:rPr>
              <w:t>Not aware (less than 50% of them)</w:t>
            </w:r>
          </w:p>
        </w:tc>
        <w:tc>
          <w:tcPr>
            <w:tcW w:w="888" w:type="pct"/>
            <w:shd w:val="clear" w:color="auto" w:fill="auto"/>
            <w:noWrap/>
            <w:hideMark/>
          </w:tcPr>
          <w:p w14:paraId="4E9E0151"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2.38%</w:t>
            </w:r>
          </w:p>
        </w:tc>
        <w:tc>
          <w:tcPr>
            <w:tcW w:w="785" w:type="pct"/>
            <w:shd w:val="clear" w:color="auto" w:fill="auto"/>
            <w:noWrap/>
            <w:hideMark/>
          </w:tcPr>
          <w:p w14:paraId="4E9E0152"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8.90%</w:t>
            </w:r>
          </w:p>
        </w:tc>
        <w:tc>
          <w:tcPr>
            <w:tcW w:w="703" w:type="pct"/>
            <w:shd w:val="clear" w:color="auto" w:fill="auto"/>
            <w:noWrap/>
            <w:hideMark/>
          </w:tcPr>
          <w:p w14:paraId="4E9E0153"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4.35%</w:t>
            </w:r>
          </w:p>
        </w:tc>
        <w:tc>
          <w:tcPr>
            <w:tcW w:w="569" w:type="pct"/>
            <w:shd w:val="clear" w:color="auto" w:fill="auto"/>
            <w:noWrap/>
            <w:hideMark/>
          </w:tcPr>
          <w:p w14:paraId="4E9E0154"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15.63%</w:t>
            </w:r>
          </w:p>
        </w:tc>
      </w:tr>
      <w:tr w:rsidR="00B47F2C" w:rsidRPr="009E0050" w14:paraId="4E9E015C" w14:textId="77777777" w:rsidTr="00B47F2C">
        <w:trPr>
          <w:trHeight w:val="714"/>
        </w:trPr>
        <w:tc>
          <w:tcPr>
            <w:tcW w:w="883" w:type="pct"/>
            <w:vMerge/>
            <w:vAlign w:val="center"/>
            <w:hideMark/>
          </w:tcPr>
          <w:p w14:paraId="4E9E0156" w14:textId="77777777" w:rsidR="00B47F2C" w:rsidRPr="009E0050" w:rsidRDefault="00B47F2C" w:rsidP="00B47F2C">
            <w:pPr>
              <w:spacing w:after="0" w:line="240" w:lineRule="auto"/>
              <w:jc w:val="left"/>
              <w:rPr>
                <w:rFonts w:eastAsia="Times New Roman" w:cs="Arial"/>
                <w:b/>
                <w:color w:val="000000"/>
                <w:lang w:val="en-GB" w:eastAsia="en-GB"/>
              </w:rPr>
            </w:pPr>
          </w:p>
        </w:tc>
        <w:tc>
          <w:tcPr>
            <w:tcW w:w="1172" w:type="pct"/>
            <w:shd w:val="clear" w:color="auto" w:fill="auto"/>
            <w:hideMark/>
          </w:tcPr>
          <w:p w14:paraId="4E9E0157" w14:textId="77777777" w:rsidR="00B47F2C" w:rsidRPr="009E0050" w:rsidRDefault="00B47F2C" w:rsidP="00B47F2C">
            <w:pPr>
              <w:spacing w:after="0" w:line="240" w:lineRule="auto"/>
              <w:jc w:val="left"/>
              <w:rPr>
                <w:rFonts w:eastAsia="Times New Roman" w:cs="Arial"/>
                <w:b/>
                <w:color w:val="000000"/>
                <w:lang w:val="en-GB" w:eastAsia="en-GB"/>
              </w:rPr>
            </w:pPr>
            <w:r w:rsidRPr="009E0050">
              <w:rPr>
                <w:rFonts w:eastAsia="Times New Roman" w:cs="Arial"/>
                <w:b/>
                <w:color w:val="000000"/>
                <w:lang w:val="en-GB" w:eastAsia="en-GB"/>
              </w:rPr>
              <w:t>Partially aware (between 50-89%)</w:t>
            </w:r>
          </w:p>
        </w:tc>
        <w:tc>
          <w:tcPr>
            <w:tcW w:w="888" w:type="pct"/>
            <w:shd w:val="clear" w:color="auto" w:fill="auto"/>
            <w:noWrap/>
            <w:hideMark/>
          </w:tcPr>
          <w:p w14:paraId="4E9E0158"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5.38%</w:t>
            </w:r>
          </w:p>
        </w:tc>
        <w:tc>
          <w:tcPr>
            <w:tcW w:w="785" w:type="pct"/>
            <w:shd w:val="clear" w:color="auto" w:fill="auto"/>
            <w:noWrap/>
            <w:hideMark/>
          </w:tcPr>
          <w:p w14:paraId="4E9E0159"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1.24%</w:t>
            </w:r>
          </w:p>
        </w:tc>
        <w:tc>
          <w:tcPr>
            <w:tcW w:w="703" w:type="pct"/>
            <w:shd w:val="clear" w:color="auto" w:fill="auto"/>
            <w:noWrap/>
            <w:hideMark/>
          </w:tcPr>
          <w:p w14:paraId="4E9E015A"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38.72%</w:t>
            </w:r>
          </w:p>
        </w:tc>
        <w:tc>
          <w:tcPr>
            <w:tcW w:w="569" w:type="pct"/>
            <w:shd w:val="clear" w:color="auto" w:fill="auto"/>
            <w:noWrap/>
            <w:hideMark/>
          </w:tcPr>
          <w:p w14:paraId="4E9E015B"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45.34%</w:t>
            </w:r>
          </w:p>
        </w:tc>
      </w:tr>
      <w:tr w:rsidR="00B47F2C" w:rsidRPr="009E0050" w14:paraId="4E9E0162" w14:textId="77777777" w:rsidTr="00B47F2C">
        <w:trPr>
          <w:trHeight w:val="315"/>
        </w:trPr>
        <w:tc>
          <w:tcPr>
            <w:tcW w:w="2055" w:type="pct"/>
            <w:gridSpan w:val="2"/>
            <w:shd w:val="clear" w:color="auto" w:fill="auto"/>
            <w:hideMark/>
          </w:tcPr>
          <w:p w14:paraId="4E9E015D" w14:textId="77777777" w:rsidR="00B47F2C" w:rsidRPr="009E0050" w:rsidRDefault="00B47F2C" w:rsidP="00B47F2C">
            <w:pPr>
              <w:spacing w:after="0" w:line="240" w:lineRule="auto"/>
              <w:jc w:val="left"/>
              <w:rPr>
                <w:rFonts w:eastAsia="Times New Roman" w:cs="Arial"/>
                <w:color w:val="000000"/>
                <w:lang w:val="en-GB" w:eastAsia="en-GB"/>
              </w:rPr>
            </w:pPr>
            <w:r w:rsidRPr="009E0050">
              <w:rPr>
                <w:rFonts w:eastAsia="Times New Roman" w:cs="Arial"/>
                <w:color w:val="000000"/>
                <w:lang w:val="en-GB" w:eastAsia="en-GB"/>
              </w:rPr>
              <w:t>Total</w:t>
            </w:r>
          </w:p>
        </w:tc>
        <w:tc>
          <w:tcPr>
            <w:tcW w:w="888" w:type="pct"/>
            <w:shd w:val="clear" w:color="auto" w:fill="auto"/>
            <w:noWrap/>
            <w:hideMark/>
          </w:tcPr>
          <w:p w14:paraId="4E9E015E"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38.82%</w:t>
            </w:r>
          </w:p>
        </w:tc>
        <w:tc>
          <w:tcPr>
            <w:tcW w:w="785" w:type="pct"/>
            <w:shd w:val="clear" w:color="auto" w:fill="auto"/>
            <w:noWrap/>
            <w:hideMark/>
          </w:tcPr>
          <w:p w14:paraId="4E9E015F"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12.94%</w:t>
            </w:r>
          </w:p>
        </w:tc>
        <w:tc>
          <w:tcPr>
            <w:tcW w:w="703" w:type="pct"/>
            <w:shd w:val="clear" w:color="auto" w:fill="auto"/>
            <w:noWrap/>
            <w:hideMark/>
          </w:tcPr>
          <w:p w14:paraId="4E9E0160"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48.24%</w:t>
            </w:r>
          </w:p>
        </w:tc>
        <w:tc>
          <w:tcPr>
            <w:tcW w:w="569" w:type="pct"/>
            <w:shd w:val="clear" w:color="auto" w:fill="auto"/>
            <w:noWrap/>
            <w:hideMark/>
          </w:tcPr>
          <w:p w14:paraId="4E9E0161" w14:textId="77777777" w:rsidR="00B47F2C" w:rsidRPr="009E0050" w:rsidRDefault="00B47F2C" w:rsidP="00B47F2C">
            <w:pPr>
              <w:spacing w:after="0" w:line="240" w:lineRule="auto"/>
              <w:jc w:val="right"/>
              <w:rPr>
                <w:rFonts w:eastAsia="Times New Roman" w:cs="Arial"/>
                <w:color w:val="000000"/>
                <w:lang w:val="en-GB" w:eastAsia="en-GB"/>
              </w:rPr>
            </w:pPr>
            <w:r w:rsidRPr="009E0050">
              <w:rPr>
                <w:rFonts w:eastAsia="Times New Roman" w:cs="Arial"/>
                <w:color w:val="000000"/>
                <w:lang w:val="en-GB" w:eastAsia="en-GB"/>
              </w:rPr>
              <w:t>100.00%</w:t>
            </w:r>
          </w:p>
        </w:tc>
      </w:tr>
    </w:tbl>
    <w:p w14:paraId="4E9E0163" w14:textId="77777777" w:rsidR="00BF0253" w:rsidRPr="00BF0253" w:rsidRDefault="00B47F2C" w:rsidP="00BF0253">
      <w:r>
        <w:lastRenderedPageBreak/>
        <w:t>A total of 87.06% of the households interviewed indicated that at least the complaints they or any of their household member raised through the available mechanisms were responded to. Out of these, 38.82% said the complaints were always responded to and 48.24% said the complaints were sometimes responded to. However, 15.83% of these respondents were not aware (at most by less than 50%) how to place the complaint of protection cases.</w:t>
      </w:r>
    </w:p>
    <w:p w14:paraId="4E9E0164" w14:textId="77777777" w:rsidR="006D68D4" w:rsidRPr="009E0050" w:rsidRDefault="006D68D4" w:rsidP="006D68D4">
      <w:pPr>
        <w:jc w:val="left"/>
        <w:rPr>
          <w:rFonts w:cs="Calibri"/>
        </w:rPr>
      </w:pPr>
      <w:r w:rsidRPr="009E0050">
        <w:rPr>
          <w:rFonts w:cs="Calibri"/>
        </w:rPr>
        <w:br w:type="page"/>
      </w:r>
    </w:p>
    <w:p w14:paraId="4E9E0165" w14:textId="77777777" w:rsidR="006D68D4" w:rsidRPr="009E0050" w:rsidRDefault="006D68D4" w:rsidP="006D68D4">
      <w:pPr>
        <w:pStyle w:val="Heading1"/>
        <w:rPr>
          <w:rFonts w:cs="Calibri"/>
          <w:szCs w:val="22"/>
        </w:rPr>
      </w:pPr>
      <w:bookmarkStart w:id="54" w:name="_Toc29286322"/>
      <w:r w:rsidRPr="009E0050">
        <w:rPr>
          <w:rFonts w:cs="Calibri"/>
          <w:szCs w:val="22"/>
        </w:rPr>
        <w:lastRenderedPageBreak/>
        <w:t>CONCLUSION</w:t>
      </w:r>
      <w:bookmarkEnd w:id="54"/>
      <w:r w:rsidRPr="009E0050">
        <w:rPr>
          <w:rFonts w:cs="Calibri"/>
          <w:szCs w:val="22"/>
        </w:rPr>
        <w:t xml:space="preserve"> </w:t>
      </w:r>
    </w:p>
    <w:p w14:paraId="4E9E0166" w14:textId="77777777" w:rsidR="00645CA1" w:rsidRPr="009E0050" w:rsidRDefault="006D68D4" w:rsidP="00B73138">
      <w:pPr>
        <w:rPr>
          <w:rFonts w:cs="Calibri"/>
        </w:rPr>
      </w:pPr>
      <w:r w:rsidRPr="009E0050">
        <w:rPr>
          <w:rFonts w:cs="Calibri"/>
        </w:rPr>
        <w:t>In view of the findings above</w:t>
      </w:r>
      <w:r w:rsidR="008E2913" w:rsidRPr="009E0050">
        <w:rPr>
          <w:rFonts w:cs="Calibri"/>
        </w:rPr>
        <w:t xml:space="preserve"> from</w:t>
      </w:r>
      <w:r w:rsidR="008B739D" w:rsidRPr="009E0050">
        <w:rPr>
          <w:rFonts w:cs="Calibri"/>
        </w:rPr>
        <w:t xml:space="preserve"> the 2.5% of the households in the camps</w:t>
      </w:r>
      <w:r w:rsidR="008E2913" w:rsidRPr="009E0050">
        <w:rPr>
          <w:rFonts w:cs="Calibri"/>
        </w:rPr>
        <w:t>, the survey generalizes the findings for the entire camp and concludes that</w:t>
      </w:r>
      <w:r w:rsidR="008B739D" w:rsidRPr="009E0050">
        <w:rPr>
          <w:rFonts w:cs="Calibri"/>
        </w:rPr>
        <w:t>;</w:t>
      </w:r>
    </w:p>
    <w:p w14:paraId="4E9E0167" w14:textId="77777777" w:rsidR="008B739D" w:rsidRPr="009E0050" w:rsidRDefault="008B739D" w:rsidP="008B739D">
      <w:pPr>
        <w:numPr>
          <w:ilvl w:val="0"/>
          <w:numId w:val="35"/>
        </w:numPr>
        <w:rPr>
          <w:rFonts w:cs="Calibri"/>
        </w:rPr>
      </w:pPr>
      <w:r w:rsidRPr="009E0050">
        <w:rPr>
          <w:rFonts w:cs="Calibri"/>
        </w:rPr>
        <w:t>The average water per person per day for the entire camp was 17.4 l/p/d of which Kalobeyei stood at 17.55l/p/d, Kakuma stood at 19.43l/p/d</w:t>
      </w:r>
    </w:p>
    <w:p w14:paraId="4E9E0168" w14:textId="77777777" w:rsidR="008B739D" w:rsidRPr="009E0050" w:rsidRDefault="008B739D" w:rsidP="008B739D">
      <w:pPr>
        <w:numPr>
          <w:ilvl w:val="0"/>
          <w:numId w:val="35"/>
        </w:numPr>
        <w:rPr>
          <w:rFonts w:cs="Calibri"/>
        </w:rPr>
      </w:pPr>
      <w:r w:rsidRPr="009E0050">
        <w:rPr>
          <w:rFonts w:cs="Calibri"/>
        </w:rPr>
        <w:t>99.8% of  the households collected their water from protected water sources</w:t>
      </w:r>
    </w:p>
    <w:p w14:paraId="4E9E0169" w14:textId="77777777" w:rsidR="00814887" w:rsidRPr="009E0050" w:rsidRDefault="008E2913" w:rsidP="00B86D4B">
      <w:pPr>
        <w:numPr>
          <w:ilvl w:val="0"/>
          <w:numId w:val="35"/>
        </w:numPr>
        <w:rPr>
          <w:rFonts w:cs="Calibri"/>
        </w:rPr>
      </w:pPr>
      <w:r w:rsidRPr="009E0050">
        <w:rPr>
          <w:rFonts w:cs="Calibri"/>
        </w:rPr>
        <w:t>Although 86% of the households in the entire camp have access to a HH latrine</w:t>
      </w:r>
      <w:r w:rsidR="00814887" w:rsidRPr="009E0050">
        <w:rPr>
          <w:rFonts w:cs="Calibri"/>
        </w:rPr>
        <w:t xml:space="preserve"> either as shared or individually owned</w:t>
      </w:r>
      <w:r w:rsidRPr="009E0050">
        <w:rPr>
          <w:rFonts w:cs="Calibri"/>
        </w:rPr>
        <w:t xml:space="preserve">, the latrine coverage in Kakuma refugee camps is low at </w:t>
      </w:r>
      <w:r w:rsidR="00814887" w:rsidRPr="009E0050">
        <w:rPr>
          <w:rFonts w:cs="Calibri"/>
        </w:rPr>
        <w:t>30.81%</w:t>
      </w:r>
      <w:r w:rsidR="00B86D4B" w:rsidRPr="009E0050">
        <w:rPr>
          <w:rFonts w:cs="Calibri"/>
        </w:rPr>
        <w:t>. This prompts around 14.10% households to practice OD in the camp.</w:t>
      </w:r>
    </w:p>
    <w:p w14:paraId="4E9E016A" w14:textId="77777777" w:rsidR="00B86D4B" w:rsidRPr="009E0050" w:rsidRDefault="002D07BB" w:rsidP="00B86D4B">
      <w:pPr>
        <w:numPr>
          <w:ilvl w:val="0"/>
          <w:numId w:val="35"/>
        </w:numPr>
        <w:rPr>
          <w:rFonts w:cs="Calibri"/>
        </w:rPr>
      </w:pPr>
      <w:r w:rsidRPr="009E0050">
        <w:rPr>
          <w:rFonts w:cs="Calibri"/>
        </w:rPr>
        <w:t>A cumulative of 82.7% of the households have had regular access to soap. However, the families that did not have regular access to soap used water and ash to clean their hands</w:t>
      </w:r>
    </w:p>
    <w:p w14:paraId="4E9E016B" w14:textId="77777777" w:rsidR="002D07BB" w:rsidRPr="009E0050" w:rsidRDefault="00075362" w:rsidP="00B86D4B">
      <w:pPr>
        <w:numPr>
          <w:ilvl w:val="0"/>
          <w:numId w:val="35"/>
        </w:numPr>
        <w:rPr>
          <w:rFonts w:cs="Calibri"/>
        </w:rPr>
      </w:pPr>
      <w:r w:rsidRPr="009E0050">
        <w:rPr>
          <w:rFonts w:cs="Calibri"/>
        </w:rPr>
        <w:t>10% of the households disposed their solid waste in undesignated open areas indicating that 90% of the households had access to functioning solid waste management facilities including designated solid waste disposal sites, solid waste collection bins and many others as developed individually by the households</w:t>
      </w:r>
    </w:p>
    <w:p w14:paraId="4E9E016C" w14:textId="77777777" w:rsidR="00075362" w:rsidRPr="009E0050" w:rsidRDefault="00D34E3F" w:rsidP="00B86D4B">
      <w:pPr>
        <w:numPr>
          <w:ilvl w:val="0"/>
          <w:numId w:val="35"/>
        </w:numPr>
        <w:rPr>
          <w:rFonts w:cs="Calibri"/>
        </w:rPr>
      </w:pPr>
      <w:r w:rsidRPr="009E0050">
        <w:rPr>
          <w:rFonts w:cs="Calibri"/>
        </w:rPr>
        <w:t>45% of the households had at least participated in health and hygiene promotion activities</w:t>
      </w:r>
    </w:p>
    <w:p w14:paraId="4E9E016D" w14:textId="77777777" w:rsidR="00D34E3F" w:rsidRPr="009E0050" w:rsidRDefault="00D34E3F" w:rsidP="00B86D4B">
      <w:pPr>
        <w:numPr>
          <w:ilvl w:val="0"/>
          <w:numId w:val="35"/>
        </w:numPr>
        <w:rPr>
          <w:rFonts w:cs="Calibri"/>
        </w:rPr>
      </w:pPr>
      <w:r w:rsidRPr="009E0050">
        <w:rPr>
          <w:rFonts w:cs="Calibri"/>
        </w:rPr>
        <w:t xml:space="preserve">52% of the households had additionally received health and hygiene messages from hygiene promoters and community health workers. </w:t>
      </w:r>
    </w:p>
    <w:p w14:paraId="4E9E016E" w14:textId="77777777" w:rsidR="00D34E3F" w:rsidRPr="009E0050" w:rsidRDefault="00D34E3F" w:rsidP="00B86D4B">
      <w:pPr>
        <w:numPr>
          <w:ilvl w:val="0"/>
          <w:numId w:val="35"/>
        </w:numPr>
        <w:rPr>
          <w:rFonts w:cs="Calibri"/>
        </w:rPr>
      </w:pPr>
      <w:r w:rsidRPr="009E0050">
        <w:rPr>
          <w:rFonts w:cs="Calibri"/>
        </w:rPr>
        <w:t>Majority of the households in the camps prefer receiving hygiene messages through home visits and community meetings more than through SMS and printed materials though majority of the household members have access to phones at 81% and 60% of the members could read and write</w:t>
      </w:r>
    </w:p>
    <w:p w14:paraId="4E9E016F" w14:textId="77777777" w:rsidR="00D34E3F" w:rsidRPr="009E0050" w:rsidRDefault="00197630" w:rsidP="00B86D4B">
      <w:pPr>
        <w:numPr>
          <w:ilvl w:val="0"/>
          <w:numId w:val="35"/>
        </w:numPr>
        <w:rPr>
          <w:rFonts w:cs="Calibri"/>
        </w:rPr>
      </w:pPr>
      <w:r w:rsidRPr="009E0050">
        <w:rPr>
          <w:rFonts w:cs="Calibri"/>
        </w:rPr>
        <w:t xml:space="preserve">97% of the female of reproductive age have access and use proper menstrual management materials although close to 20% of the women still experience some exclusion whenever they experience their monthly periods including missing school, work, and participation in social activities to cooking and eating with others as well as bathing in regular places. </w:t>
      </w:r>
    </w:p>
    <w:p w14:paraId="4E9E0170" w14:textId="77777777" w:rsidR="00B96E5E" w:rsidRPr="009E0050" w:rsidRDefault="00263E45" w:rsidP="00FF7866">
      <w:pPr>
        <w:numPr>
          <w:ilvl w:val="0"/>
          <w:numId w:val="35"/>
        </w:numPr>
        <w:spacing w:line="480" w:lineRule="auto"/>
        <w:jc w:val="left"/>
        <w:rPr>
          <w:rFonts w:cs="Calibri"/>
        </w:rPr>
      </w:pPr>
      <w:r w:rsidRPr="009E0050">
        <w:rPr>
          <w:rFonts w:cs="Calibri"/>
        </w:rPr>
        <w:t>87.60% of the beneficiaries believe that their complaints on protection issues are dealt with and responded to.</w:t>
      </w:r>
    </w:p>
    <w:p w14:paraId="4E9E0171" w14:textId="77777777" w:rsidR="00C65008" w:rsidRPr="009E0050" w:rsidRDefault="00C65008" w:rsidP="00B96E5E">
      <w:pPr>
        <w:jc w:val="center"/>
        <w:rPr>
          <w:rFonts w:cs="Calibri"/>
        </w:rPr>
      </w:pPr>
    </w:p>
    <w:sectPr w:rsidR="00C65008" w:rsidRPr="009E0050" w:rsidSect="0017021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AB87A" w14:textId="77777777" w:rsidR="00AF4C41" w:rsidRDefault="00AF4C41" w:rsidP="00462ACB">
      <w:pPr>
        <w:spacing w:after="0" w:line="240" w:lineRule="auto"/>
      </w:pPr>
      <w:r>
        <w:separator/>
      </w:r>
    </w:p>
  </w:endnote>
  <w:endnote w:type="continuationSeparator" w:id="0">
    <w:p w14:paraId="5547D62F" w14:textId="77777777" w:rsidR="00AF4C41" w:rsidRDefault="00AF4C41" w:rsidP="00462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E019B" w14:textId="77777777" w:rsidR="00073682" w:rsidRDefault="00073682" w:rsidP="009E0050">
    <w:pPr>
      <w:pStyle w:val="Footer"/>
      <w:pBdr>
        <w:top w:val="single" w:sz="4" w:space="1" w:color="D9D9D9"/>
      </w:pBdr>
      <w:rPr>
        <w:b/>
        <w:bCs/>
      </w:rPr>
    </w:pPr>
    <w:r>
      <w:fldChar w:fldCharType="begin"/>
    </w:r>
    <w:r>
      <w:instrText xml:space="preserve"> PAGE   \* MERGEFORMAT </w:instrText>
    </w:r>
    <w:r>
      <w:fldChar w:fldCharType="separate"/>
    </w:r>
    <w:r w:rsidR="00E14070" w:rsidRPr="00E14070">
      <w:rPr>
        <w:b/>
        <w:bCs/>
        <w:noProof/>
      </w:rPr>
      <w:t>9</w:t>
    </w:r>
    <w:r>
      <w:rPr>
        <w:b/>
        <w:bCs/>
        <w:noProof/>
      </w:rPr>
      <w:fldChar w:fldCharType="end"/>
    </w:r>
    <w:r>
      <w:rPr>
        <w:b/>
        <w:bCs/>
      </w:rPr>
      <w:t xml:space="preserve"> | </w:t>
    </w:r>
    <w:r w:rsidRPr="009E0050">
      <w:rPr>
        <w:color w:val="7F7F7F"/>
        <w:spacing w:val="60"/>
      </w:rPr>
      <w:t>Page</w:t>
    </w:r>
  </w:p>
  <w:p w14:paraId="4E9E019C" w14:textId="77777777" w:rsidR="00073682" w:rsidRDefault="000736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E019D" w14:textId="77777777" w:rsidR="00073682" w:rsidRDefault="00073682">
    <w:pPr>
      <w:pStyle w:val="Footer"/>
      <w:jc w:val="center"/>
    </w:pPr>
  </w:p>
  <w:p w14:paraId="4E9E019E" w14:textId="77777777" w:rsidR="00073682" w:rsidRDefault="00073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78971" w14:textId="77777777" w:rsidR="00AF4C41" w:rsidRDefault="00AF4C41" w:rsidP="00462ACB">
      <w:pPr>
        <w:spacing w:after="0" w:line="240" w:lineRule="auto"/>
      </w:pPr>
      <w:r>
        <w:separator/>
      </w:r>
    </w:p>
  </w:footnote>
  <w:footnote w:type="continuationSeparator" w:id="0">
    <w:p w14:paraId="4FDE3995" w14:textId="77777777" w:rsidR="00AF4C41" w:rsidRDefault="00AF4C41" w:rsidP="00462ACB">
      <w:pPr>
        <w:spacing w:after="0" w:line="240" w:lineRule="auto"/>
      </w:pPr>
      <w:r>
        <w:continuationSeparator/>
      </w:r>
    </w:p>
  </w:footnote>
  <w:footnote w:id="1">
    <w:p w14:paraId="4E9E01A5" w14:textId="77777777" w:rsidR="00073682" w:rsidRDefault="00073682" w:rsidP="006D68D4">
      <w:pPr>
        <w:pStyle w:val="FootnoteText"/>
      </w:pPr>
      <w:r>
        <w:rPr>
          <w:rStyle w:val="FootnoteReference"/>
        </w:rPr>
        <w:footnoteRef/>
      </w:r>
      <w:r>
        <w:t xml:space="preserve">    Constitution of the Republic of Kenya (2010)</w:t>
      </w:r>
    </w:p>
  </w:footnote>
  <w:footnote w:id="2">
    <w:p w14:paraId="4E9E01A6" w14:textId="77777777" w:rsidR="00073682" w:rsidRDefault="00073682" w:rsidP="006D68D4">
      <w:pPr>
        <w:pStyle w:val="FootnoteText"/>
      </w:pPr>
      <w:r>
        <w:rPr>
          <w:rStyle w:val="FootnoteReference"/>
        </w:rPr>
        <w:footnoteRef/>
      </w:r>
      <w:r>
        <w:t xml:space="preserve">     UNHCR WASH Guidelines</w:t>
      </w:r>
    </w:p>
  </w:footnote>
  <w:footnote w:id="3">
    <w:p w14:paraId="4E9E01A7" w14:textId="77777777" w:rsidR="00073682" w:rsidRDefault="00073682" w:rsidP="006D68D4">
      <w:pPr>
        <w:pStyle w:val="FootnoteText"/>
      </w:pPr>
      <w:r>
        <w:rPr>
          <w:rStyle w:val="FootnoteReference"/>
        </w:rPr>
        <w:footnoteRef/>
      </w:r>
      <w:r>
        <w:t xml:space="preserve"> KISEDP Strategic Overview. </w:t>
      </w:r>
      <w:hyperlink r:id="rId1" w:history="1">
        <w:r>
          <w:rPr>
            <w:rStyle w:val="Hyperlink"/>
          </w:rPr>
          <w:t>https://www.unhcr.org/ke/wp-content/uploads/sites/2/2018/12/KISEDP-Strategic-Overview.pdf</w:t>
        </w:r>
      </w:hyperlink>
    </w:p>
    <w:p w14:paraId="4E9E01A8" w14:textId="77777777" w:rsidR="00073682" w:rsidRDefault="00073682" w:rsidP="006D68D4">
      <w:pPr>
        <w:pStyle w:val="FootnoteText"/>
      </w:pPr>
    </w:p>
  </w:footnote>
  <w:footnote w:id="4">
    <w:p w14:paraId="4E9E01A9" w14:textId="77777777" w:rsidR="00073682" w:rsidRDefault="00073682" w:rsidP="006D68D4">
      <w:pPr>
        <w:pStyle w:val="FootnoteText"/>
      </w:pPr>
      <w:r>
        <w:rPr>
          <w:rStyle w:val="FootnoteReference"/>
        </w:rPr>
        <w:footnoteRef/>
      </w:r>
      <w:r>
        <w:t xml:space="preserve"> Kakuma and Kalobeyei Latrine Census,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E019A" w14:textId="77777777" w:rsidR="00073682" w:rsidRDefault="00073682" w:rsidP="00BF0330">
    <w:pPr>
      <w:pStyle w:val="Header"/>
    </w:pPr>
    <w:r w:rsidRPr="00BF0330">
      <w:rPr>
        <w:noProof/>
      </w:rPr>
      <w:drawing>
        <wp:inline distT="0" distB="0" distL="0" distR="0" wp14:anchorId="4E9E019F" wp14:editId="4E9E01A0">
          <wp:extent cx="1414780" cy="1250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4780" cy="1250950"/>
                  </a:xfrm>
                  <a:prstGeom prst="rect">
                    <a:avLst/>
                  </a:prstGeom>
                  <a:noFill/>
                  <a:ln>
                    <a:noFill/>
                  </a:ln>
                </pic:spPr>
              </pic:pic>
            </a:graphicData>
          </a:graphic>
        </wp:inline>
      </w:drawing>
    </w:r>
    <w:r>
      <w:tab/>
    </w:r>
    <w:r w:rsidRPr="00BF0330">
      <w:rPr>
        <w:noProof/>
      </w:rPr>
      <w:drawing>
        <wp:inline distT="0" distB="0" distL="0" distR="0" wp14:anchorId="4E9E01A1" wp14:editId="4E9E01A2">
          <wp:extent cx="1612900" cy="1121410"/>
          <wp:effectExtent l="0" t="0" r="0" b="0"/>
          <wp:docPr id="2" name="Picture 2" descr="European 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ropean Commission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2900" cy="1121410"/>
                  </a:xfrm>
                  <a:prstGeom prst="rect">
                    <a:avLst/>
                  </a:prstGeom>
                  <a:noFill/>
                  <a:ln>
                    <a:noFill/>
                  </a:ln>
                </pic:spPr>
              </pic:pic>
            </a:graphicData>
          </a:graphic>
        </wp:inline>
      </w:drawing>
    </w:r>
    <w:r>
      <w:rPr>
        <w:noProof/>
        <w:lang w:val="en-GB" w:eastAsia="en-GB"/>
      </w:rPr>
      <w:tab/>
    </w:r>
    <w:r w:rsidRPr="00BF0330">
      <w:rPr>
        <w:noProof/>
      </w:rPr>
      <w:drawing>
        <wp:inline distT="0" distB="0" distL="0" distR="0" wp14:anchorId="4E9E01A3" wp14:editId="4E9E01A4">
          <wp:extent cx="1130300" cy="1130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60CCB"/>
    <w:multiLevelType w:val="hybridMultilevel"/>
    <w:tmpl w:val="E55223F8"/>
    <w:lvl w:ilvl="0" w:tplc="777A19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9305D"/>
    <w:multiLevelType w:val="multilevel"/>
    <w:tmpl w:val="3C60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E5142"/>
    <w:multiLevelType w:val="multilevel"/>
    <w:tmpl w:val="36663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A270FA"/>
    <w:multiLevelType w:val="multilevel"/>
    <w:tmpl w:val="906ABEBA"/>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DC5C2B"/>
    <w:multiLevelType w:val="hybridMultilevel"/>
    <w:tmpl w:val="1F30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46147"/>
    <w:multiLevelType w:val="hybridMultilevel"/>
    <w:tmpl w:val="88BAC6FE"/>
    <w:lvl w:ilvl="0" w:tplc="B48ACA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E529E4"/>
    <w:multiLevelType w:val="hybridMultilevel"/>
    <w:tmpl w:val="E3AC0440"/>
    <w:lvl w:ilvl="0" w:tplc="1FF66598">
      <w:start w:val="9"/>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7" w15:restartNumberingAfterBreak="0">
    <w:nsid w:val="1A002356"/>
    <w:multiLevelType w:val="hybridMultilevel"/>
    <w:tmpl w:val="0BFAC0F6"/>
    <w:lvl w:ilvl="0" w:tplc="22883304">
      <w:start w:val="1"/>
      <w:numFmt w:val="lowerRoman"/>
      <w:lvlText w:val="%1."/>
      <w:lvlJc w:val="right"/>
      <w:pPr>
        <w:ind w:left="45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4470C8"/>
    <w:multiLevelType w:val="hybridMultilevel"/>
    <w:tmpl w:val="F3BE4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282378"/>
    <w:multiLevelType w:val="hybridMultilevel"/>
    <w:tmpl w:val="BE5A0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8162B7"/>
    <w:multiLevelType w:val="hybridMultilevel"/>
    <w:tmpl w:val="A4609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B57332"/>
    <w:multiLevelType w:val="hybridMultilevel"/>
    <w:tmpl w:val="3C445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C97419"/>
    <w:multiLevelType w:val="multilevel"/>
    <w:tmpl w:val="7AA6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820BB7"/>
    <w:multiLevelType w:val="hybridMultilevel"/>
    <w:tmpl w:val="4BE03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8B4180"/>
    <w:multiLevelType w:val="multilevel"/>
    <w:tmpl w:val="06042C5A"/>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26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8474E6"/>
    <w:multiLevelType w:val="hybridMultilevel"/>
    <w:tmpl w:val="B34ABB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4D39E6"/>
    <w:multiLevelType w:val="hybridMultilevel"/>
    <w:tmpl w:val="B474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4267EB"/>
    <w:multiLevelType w:val="hybridMultilevel"/>
    <w:tmpl w:val="FFF27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7C28CD"/>
    <w:multiLevelType w:val="hybridMultilevel"/>
    <w:tmpl w:val="03FC5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F65A64"/>
    <w:multiLevelType w:val="hybridMultilevel"/>
    <w:tmpl w:val="FB522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B01B01"/>
    <w:multiLevelType w:val="multilevel"/>
    <w:tmpl w:val="474A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5D73B4"/>
    <w:multiLevelType w:val="hybridMultilevel"/>
    <w:tmpl w:val="4A5637D6"/>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966565"/>
    <w:multiLevelType w:val="hybridMultilevel"/>
    <w:tmpl w:val="24ECB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410337"/>
    <w:multiLevelType w:val="hybridMultilevel"/>
    <w:tmpl w:val="F872D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D66593"/>
    <w:multiLevelType w:val="hybridMultilevel"/>
    <w:tmpl w:val="19343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E847DA"/>
    <w:multiLevelType w:val="hybridMultilevel"/>
    <w:tmpl w:val="A96051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0004357"/>
    <w:multiLevelType w:val="hybridMultilevel"/>
    <w:tmpl w:val="593CC5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2F3212"/>
    <w:multiLevelType w:val="hybridMultilevel"/>
    <w:tmpl w:val="2C587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9E2274"/>
    <w:multiLevelType w:val="hybridMultilevel"/>
    <w:tmpl w:val="15301DF8"/>
    <w:lvl w:ilvl="0" w:tplc="151C47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372467"/>
    <w:multiLevelType w:val="multilevel"/>
    <w:tmpl w:val="9F7A98C2"/>
    <w:lvl w:ilvl="0">
      <w:start w:val="41"/>
      <w:numFmt w:val="decimal"/>
      <w:lvlText w:val="%1"/>
      <w:lvlJc w:val="left"/>
      <w:pPr>
        <w:ind w:left="555" w:hanging="555"/>
      </w:pPr>
      <w:rPr>
        <w:rFonts w:hint="default"/>
      </w:rPr>
    </w:lvl>
    <w:lvl w:ilvl="1">
      <w:start w:val="50"/>
      <w:numFmt w:val="decimal"/>
      <w:lvlText w:val="%1-%2"/>
      <w:lvlJc w:val="left"/>
      <w:pPr>
        <w:ind w:left="1275" w:hanging="55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FA91AC2"/>
    <w:multiLevelType w:val="hybridMultilevel"/>
    <w:tmpl w:val="E39C9726"/>
    <w:lvl w:ilvl="0" w:tplc="B4C450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500B54"/>
    <w:multiLevelType w:val="hybridMultilevel"/>
    <w:tmpl w:val="A97C9D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421A8D"/>
    <w:multiLevelType w:val="hybridMultilevel"/>
    <w:tmpl w:val="4A5637D6"/>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9F2EF9"/>
    <w:multiLevelType w:val="hybridMultilevel"/>
    <w:tmpl w:val="9D3A5252"/>
    <w:lvl w:ilvl="0" w:tplc="6784BE1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7CDF3E6A"/>
    <w:multiLevelType w:val="hybridMultilevel"/>
    <w:tmpl w:val="4CA0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8"/>
  </w:num>
  <w:num w:numId="4">
    <w:abstractNumId w:val="30"/>
  </w:num>
  <w:num w:numId="5">
    <w:abstractNumId w:val="17"/>
  </w:num>
  <w:num w:numId="6">
    <w:abstractNumId w:val="19"/>
  </w:num>
  <w:num w:numId="7">
    <w:abstractNumId w:val="34"/>
  </w:num>
  <w:num w:numId="8">
    <w:abstractNumId w:val="18"/>
  </w:num>
  <w:num w:numId="9">
    <w:abstractNumId w:val="20"/>
  </w:num>
  <w:num w:numId="10">
    <w:abstractNumId w:val="23"/>
  </w:num>
  <w:num w:numId="11">
    <w:abstractNumId w:val="13"/>
  </w:num>
  <w:num w:numId="12">
    <w:abstractNumId w:val="22"/>
  </w:num>
  <w:num w:numId="13">
    <w:abstractNumId w:val="4"/>
  </w:num>
  <w:num w:numId="14">
    <w:abstractNumId w:val="27"/>
  </w:num>
  <w:num w:numId="15">
    <w:abstractNumId w:val="11"/>
  </w:num>
  <w:num w:numId="16">
    <w:abstractNumId w:val="21"/>
  </w:num>
  <w:num w:numId="17">
    <w:abstractNumId w:val="25"/>
  </w:num>
  <w:num w:numId="18">
    <w:abstractNumId w:val="1"/>
  </w:num>
  <w:num w:numId="19">
    <w:abstractNumId w:val="2"/>
  </w:num>
  <w:num w:numId="20">
    <w:abstractNumId w:val="32"/>
  </w:num>
  <w:num w:numId="21">
    <w:abstractNumId w:val="9"/>
  </w:num>
  <w:num w:numId="22">
    <w:abstractNumId w:val="10"/>
  </w:num>
  <w:num w:numId="23">
    <w:abstractNumId w:val="0"/>
  </w:num>
  <w:num w:numId="24">
    <w:abstractNumId w:val="14"/>
  </w:num>
  <w:num w:numId="25">
    <w:abstractNumId w:val="7"/>
  </w:num>
  <w:num w:numId="26">
    <w:abstractNumId w:val="33"/>
  </w:num>
  <w:num w:numId="27">
    <w:abstractNumId w:val="29"/>
  </w:num>
  <w:num w:numId="28">
    <w:abstractNumId w:val="6"/>
  </w:num>
  <w:num w:numId="29">
    <w:abstractNumId w:val="5"/>
  </w:num>
  <w:num w:numId="30">
    <w:abstractNumId w:val="24"/>
  </w:num>
  <w:num w:numId="31">
    <w:abstractNumId w:val="8"/>
  </w:num>
  <w:num w:numId="32">
    <w:abstractNumId w:val="15"/>
  </w:num>
  <w:num w:numId="33">
    <w:abstractNumId w:val="16"/>
  </w:num>
  <w:num w:numId="34">
    <w:abstractNumId w:val="26"/>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zNjA0NTCyMDQ0NjBX0lEKTi0uzszPAykwrAUAOrVxaiwAAAA="/>
  </w:docVars>
  <w:rsids>
    <w:rsidRoot w:val="00BA049F"/>
    <w:rsid w:val="000147C9"/>
    <w:rsid w:val="000162D7"/>
    <w:rsid w:val="00022C63"/>
    <w:rsid w:val="00023E03"/>
    <w:rsid w:val="00031F09"/>
    <w:rsid w:val="000359ED"/>
    <w:rsid w:val="00036420"/>
    <w:rsid w:val="00041975"/>
    <w:rsid w:val="00042259"/>
    <w:rsid w:val="00046252"/>
    <w:rsid w:val="0005055D"/>
    <w:rsid w:val="00051FA8"/>
    <w:rsid w:val="000717F1"/>
    <w:rsid w:val="00073682"/>
    <w:rsid w:val="00075362"/>
    <w:rsid w:val="00080D6B"/>
    <w:rsid w:val="000A6623"/>
    <w:rsid w:val="000B19C0"/>
    <w:rsid w:val="000C64FD"/>
    <w:rsid w:val="000D4E1A"/>
    <w:rsid w:val="000F0778"/>
    <w:rsid w:val="000F4136"/>
    <w:rsid w:val="000F47B9"/>
    <w:rsid w:val="000F47D6"/>
    <w:rsid w:val="000F4FEE"/>
    <w:rsid w:val="00107368"/>
    <w:rsid w:val="001217DD"/>
    <w:rsid w:val="001319E1"/>
    <w:rsid w:val="001321BA"/>
    <w:rsid w:val="0013596F"/>
    <w:rsid w:val="00137E6A"/>
    <w:rsid w:val="00150E86"/>
    <w:rsid w:val="001511BC"/>
    <w:rsid w:val="00156863"/>
    <w:rsid w:val="00161E36"/>
    <w:rsid w:val="00163C51"/>
    <w:rsid w:val="00163F3C"/>
    <w:rsid w:val="0017021E"/>
    <w:rsid w:val="00173167"/>
    <w:rsid w:val="001731EC"/>
    <w:rsid w:val="00175B06"/>
    <w:rsid w:val="00185404"/>
    <w:rsid w:val="00185F02"/>
    <w:rsid w:val="0018740F"/>
    <w:rsid w:val="001917B2"/>
    <w:rsid w:val="00197630"/>
    <w:rsid w:val="001A08C7"/>
    <w:rsid w:val="001B5567"/>
    <w:rsid w:val="001B5D48"/>
    <w:rsid w:val="001D13FB"/>
    <w:rsid w:val="001E1D4F"/>
    <w:rsid w:val="001E24E6"/>
    <w:rsid w:val="001E2E58"/>
    <w:rsid w:val="001E7541"/>
    <w:rsid w:val="0021180E"/>
    <w:rsid w:val="0021276E"/>
    <w:rsid w:val="00213FE4"/>
    <w:rsid w:val="00221961"/>
    <w:rsid w:val="00233FC8"/>
    <w:rsid w:val="00240910"/>
    <w:rsid w:val="00240ADD"/>
    <w:rsid w:val="00247006"/>
    <w:rsid w:val="00247681"/>
    <w:rsid w:val="0025205F"/>
    <w:rsid w:val="00263E45"/>
    <w:rsid w:val="00263F99"/>
    <w:rsid w:val="002879CF"/>
    <w:rsid w:val="002A3F88"/>
    <w:rsid w:val="002A565D"/>
    <w:rsid w:val="002A6858"/>
    <w:rsid w:val="002B65E4"/>
    <w:rsid w:val="002B665F"/>
    <w:rsid w:val="002C5F55"/>
    <w:rsid w:val="002D07BB"/>
    <w:rsid w:val="002D2B20"/>
    <w:rsid w:val="002D3F7E"/>
    <w:rsid w:val="002E3AD4"/>
    <w:rsid w:val="002E69C4"/>
    <w:rsid w:val="002E6D6E"/>
    <w:rsid w:val="002F4F5A"/>
    <w:rsid w:val="002F53D8"/>
    <w:rsid w:val="003111FE"/>
    <w:rsid w:val="00315494"/>
    <w:rsid w:val="00315C41"/>
    <w:rsid w:val="00316462"/>
    <w:rsid w:val="00320247"/>
    <w:rsid w:val="00322AA7"/>
    <w:rsid w:val="00332F12"/>
    <w:rsid w:val="00334367"/>
    <w:rsid w:val="00337886"/>
    <w:rsid w:val="00337922"/>
    <w:rsid w:val="00337B9D"/>
    <w:rsid w:val="0034318A"/>
    <w:rsid w:val="003445BD"/>
    <w:rsid w:val="00344B19"/>
    <w:rsid w:val="0035158B"/>
    <w:rsid w:val="00361AFE"/>
    <w:rsid w:val="00364BEC"/>
    <w:rsid w:val="00371FB0"/>
    <w:rsid w:val="003A03E2"/>
    <w:rsid w:val="003A07D8"/>
    <w:rsid w:val="003A6BCF"/>
    <w:rsid w:val="003A74F3"/>
    <w:rsid w:val="003C44B0"/>
    <w:rsid w:val="003C55C9"/>
    <w:rsid w:val="003D4684"/>
    <w:rsid w:val="003D570C"/>
    <w:rsid w:val="003D5FFF"/>
    <w:rsid w:val="003E74B4"/>
    <w:rsid w:val="003F4F53"/>
    <w:rsid w:val="0040600E"/>
    <w:rsid w:val="0040636D"/>
    <w:rsid w:val="00415A11"/>
    <w:rsid w:val="00423B28"/>
    <w:rsid w:val="00431E59"/>
    <w:rsid w:val="004414C1"/>
    <w:rsid w:val="0044191A"/>
    <w:rsid w:val="0044465B"/>
    <w:rsid w:val="00450BC5"/>
    <w:rsid w:val="00451BB0"/>
    <w:rsid w:val="00451ED2"/>
    <w:rsid w:val="00454EC6"/>
    <w:rsid w:val="00462ACB"/>
    <w:rsid w:val="00466CB8"/>
    <w:rsid w:val="0046753A"/>
    <w:rsid w:val="00471C2A"/>
    <w:rsid w:val="0047744E"/>
    <w:rsid w:val="00482956"/>
    <w:rsid w:val="00483302"/>
    <w:rsid w:val="00496334"/>
    <w:rsid w:val="004A2112"/>
    <w:rsid w:val="004A7EC6"/>
    <w:rsid w:val="004B29A9"/>
    <w:rsid w:val="004D55FB"/>
    <w:rsid w:val="004D57D2"/>
    <w:rsid w:val="004E561C"/>
    <w:rsid w:val="004F232F"/>
    <w:rsid w:val="004F5DF1"/>
    <w:rsid w:val="00500E13"/>
    <w:rsid w:val="00510474"/>
    <w:rsid w:val="005106AE"/>
    <w:rsid w:val="00510C92"/>
    <w:rsid w:val="00514653"/>
    <w:rsid w:val="005247FA"/>
    <w:rsid w:val="00531E85"/>
    <w:rsid w:val="00533147"/>
    <w:rsid w:val="00535611"/>
    <w:rsid w:val="00536797"/>
    <w:rsid w:val="005613F2"/>
    <w:rsid w:val="00562ECA"/>
    <w:rsid w:val="00574E96"/>
    <w:rsid w:val="00576344"/>
    <w:rsid w:val="00580FDB"/>
    <w:rsid w:val="00595D29"/>
    <w:rsid w:val="005A1C7F"/>
    <w:rsid w:val="005A58DB"/>
    <w:rsid w:val="005C0DA4"/>
    <w:rsid w:val="005D0DCD"/>
    <w:rsid w:val="005D1183"/>
    <w:rsid w:val="005D5BD3"/>
    <w:rsid w:val="005D63B7"/>
    <w:rsid w:val="005D7F7E"/>
    <w:rsid w:val="005E191A"/>
    <w:rsid w:val="005F5AEB"/>
    <w:rsid w:val="005F76EF"/>
    <w:rsid w:val="0060680C"/>
    <w:rsid w:val="00615733"/>
    <w:rsid w:val="0062579D"/>
    <w:rsid w:val="00625AEA"/>
    <w:rsid w:val="006305E8"/>
    <w:rsid w:val="006336DF"/>
    <w:rsid w:val="006425C5"/>
    <w:rsid w:val="00645CA1"/>
    <w:rsid w:val="00647AEF"/>
    <w:rsid w:val="00660B4A"/>
    <w:rsid w:val="006623BD"/>
    <w:rsid w:val="00667507"/>
    <w:rsid w:val="00674B0B"/>
    <w:rsid w:val="0067626C"/>
    <w:rsid w:val="00677F64"/>
    <w:rsid w:val="006A6360"/>
    <w:rsid w:val="006B1BDF"/>
    <w:rsid w:val="006B7E9C"/>
    <w:rsid w:val="006C1F53"/>
    <w:rsid w:val="006C5349"/>
    <w:rsid w:val="006D1F5C"/>
    <w:rsid w:val="006D68D4"/>
    <w:rsid w:val="006E159F"/>
    <w:rsid w:val="006E5C74"/>
    <w:rsid w:val="006E6EB9"/>
    <w:rsid w:val="006F660D"/>
    <w:rsid w:val="00700BA5"/>
    <w:rsid w:val="00704E6D"/>
    <w:rsid w:val="00710887"/>
    <w:rsid w:val="00721C20"/>
    <w:rsid w:val="007277BF"/>
    <w:rsid w:val="00727BBA"/>
    <w:rsid w:val="00730012"/>
    <w:rsid w:val="00732AFC"/>
    <w:rsid w:val="007367DC"/>
    <w:rsid w:val="00741180"/>
    <w:rsid w:val="00742348"/>
    <w:rsid w:val="007423DE"/>
    <w:rsid w:val="00752B01"/>
    <w:rsid w:val="0075644F"/>
    <w:rsid w:val="00757990"/>
    <w:rsid w:val="0076552C"/>
    <w:rsid w:val="00765C07"/>
    <w:rsid w:val="0076702E"/>
    <w:rsid w:val="00775A9B"/>
    <w:rsid w:val="0078107E"/>
    <w:rsid w:val="00783060"/>
    <w:rsid w:val="0079470B"/>
    <w:rsid w:val="007958D6"/>
    <w:rsid w:val="007C3727"/>
    <w:rsid w:val="007C4537"/>
    <w:rsid w:val="007C4C52"/>
    <w:rsid w:val="007D33E6"/>
    <w:rsid w:val="007D6F51"/>
    <w:rsid w:val="007E172C"/>
    <w:rsid w:val="007E414A"/>
    <w:rsid w:val="007E5C0B"/>
    <w:rsid w:val="007F15C0"/>
    <w:rsid w:val="007F274A"/>
    <w:rsid w:val="00810B60"/>
    <w:rsid w:val="00814887"/>
    <w:rsid w:val="00835FC5"/>
    <w:rsid w:val="00841195"/>
    <w:rsid w:val="008422A6"/>
    <w:rsid w:val="00850338"/>
    <w:rsid w:val="00855878"/>
    <w:rsid w:val="00856061"/>
    <w:rsid w:val="008567BC"/>
    <w:rsid w:val="00856E41"/>
    <w:rsid w:val="008721BD"/>
    <w:rsid w:val="008724A0"/>
    <w:rsid w:val="00872A59"/>
    <w:rsid w:val="00881DAF"/>
    <w:rsid w:val="008869C0"/>
    <w:rsid w:val="008A292C"/>
    <w:rsid w:val="008B739D"/>
    <w:rsid w:val="008C4BB5"/>
    <w:rsid w:val="008D39C2"/>
    <w:rsid w:val="008D5931"/>
    <w:rsid w:val="008D6438"/>
    <w:rsid w:val="008D6BC6"/>
    <w:rsid w:val="008E2913"/>
    <w:rsid w:val="008E3ABC"/>
    <w:rsid w:val="008E5C0D"/>
    <w:rsid w:val="008F0141"/>
    <w:rsid w:val="008F0ECC"/>
    <w:rsid w:val="008F2C2B"/>
    <w:rsid w:val="008F4365"/>
    <w:rsid w:val="00910427"/>
    <w:rsid w:val="00913A17"/>
    <w:rsid w:val="00914D3A"/>
    <w:rsid w:val="00920ADF"/>
    <w:rsid w:val="009221FA"/>
    <w:rsid w:val="00923C2E"/>
    <w:rsid w:val="00925AE0"/>
    <w:rsid w:val="009349A5"/>
    <w:rsid w:val="009369C2"/>
    <w:rsid w:val="00941A97"/>
    <w:rsid w:val="009476ED"/>
    <w:rsid w:val="0095117A"/>
    <w:rsid w:val="00951BF3"/>
    <w:rsid w:val="0096477B"/>
    <w:rsid w:val="00964FF8"/>
    <w:rsid w:val="009650CF"/>
    <w:rsid w:val="00972A73"/>
    <w:rsid w:val="0097518D"/>
    <w:rsid w:val="00980AB8"/>
    <w:rsid w:val="00981D26"/>
    <w:rsid w:val="0098334F"/>
    <w:rsid w:val="00987BA1"/>
    <w:rsid w:val="00991397"/>
    <w:rsid w:val="00991B22"/>
    <w:rsid w:val="00992A13"/>
    <w:rsid w:val="00994B48"/>
    <w:rsid w:val="009A7D49"/>
    <w:rsid w:val="009C2042"/>
    <w:rsid w:val="009D0D6B"/>
    <w:rsid w:val="009E0050"/>
    <w:rsid w:val="009E6F0D"/>
    <w:rsid w:val="009E7F98"/>
    <w:rsid w:val="009F4424"/>
    <w:rsid w:val="009F6146"/>
    <w:rsid w:val="00A015A9"/>
    <w:rsid w:val="00A16EDB"/>
    <w:rsid w:val="00A23825"/>
    <w:rsid w:val="00A2739C"/>
    <w:rsid w:val="00A33906"/>
    <w:rsid w:val="00A42D5C"/>
    <w:rsid w:val="00A4740B"/>
    <w:rsid w:val="00A477DE"/>
    <w:rsid w:val="00A50E7E"/>
    <w:rsid w:val="00A55C91"/>
    <w:rsid w:val="00A67C8C"/>
    <w:rsid w:val="00A70B7B"/>
    <w:rsid w:val="00A72B81"/>
    <w:rsid w:val="00A77B2E"/>
    <w:rsid w:val="00AB4838"/>
    <w:rsid w:val="00AB5D04"/>
    <w:rsid w:val="00AB5D8E"/>
    <w:rsid w:val="00AC1701"/>
    <w:rsid w:val="00AC25E6"/>
    <w:rsid w:val="00AC538F"/>
    <w:rsid w:val="00AD3D53"/>
    <w:rsid w:val="00AF038E"/>
    <w:rsid w:val="00AF20D3"/>
    <w:rsid w:val="00AF48F6"/>
    <w:rsid w:val="00AF4C41"/>
    <w:rsid w:val="00AF6F38"/>
    <w:rsid w:val="00B014A4"/>
    <w:rsid w:val="00B01DF0"/>
    <w:rsid w:val="00B202D1"/>
    <w:rsid w:val="00B26ADC"/>
    <w:rsid w:val="00B312C7"/>
    <w:rsid w:val="00B34F78"/>
    <w:rsid w:val="00B34FCB"/>
    <w:rsid w:val="00B370DB"/>
    <w:rsid w:val="00B41A9D"/>
    <w:rsid w:val="00B47DB1"/>
    <w:rsid w:val="00B47F2C"/>
    <w:rsid w:val="00B705E6"/>
    <w:rsid w:val="00B71C9C"/>
    <w:rsid w:val="00B73138"/>
    <w:rsid w:val="00B86D4B"/>
    <w:rsid w:val="00B96E5E"/>
    <w:rsid w:val="00BA0067"/>
    <w:rsid w:val="00BA049F"/>
    <w:rsid w:val="00BA2B8E"/>
    <w:rsid w:val="00BB3A8C"/>
    <w:rsid w:val="00BB4B85"/>
    <w:rsid w:val="00BC3178"/>
    <w:rsid w:val="00BC3A72"/>
    <w:rsid w:val="00BC7390"/>
    <w:rsid w:val="00BD20C2"/>
    <w:rsid w:val="00BE4BE1"/>
    <w:rsid w:val="00BF0253"/>
    <w:rsid w:val="00BF0330"/>
    <w:rsid w:val="00BF5465"/>
    <w:rsid w:val="00BF5D16"/>
    <w:rsid w:val="00C2222F"/>
    <w:rsid w:val="00C36D53"/>
    <w:rsid w:val="00C437BC"/>
    <w:rsid w:val="00C44E5E"/>
    <w:rsid w:val="00C53F6A"/>
    <w:rsid w:val="00C65008"/>
    <w:rsid w:val="00C77118"/>
    <w:rsid w:val="00C911DA"/>
    <w:rsid w:val="00C91F13"/>
    <w:rsid w:val="00C96A0B"/>
    <w:rsid w:val="00CA1CE1"/>
    <w:rsid w:val="00CA604D"/>
    <w:rsid w:val="00CB0919"/>
    <w:rsid w:val="00CB1723"/>
    <w:rsid w:val="00CB7F94"/>
    <w:rsid w:val="00CC0D7B"/>
    <w:rsid w:val="00CC21D5"/>
    <w:rsid w:val="00CD0FFD"/>
    <w:rsid w:val="00CD2839"/>
    <w:rsid w:val="00CD2A6B"/>
    <w:rsid w:val="00CD33F4"/>
    <w:rsid w:val="00CD58A0"/>
    <w:rsid w:val="00CE3BBB"/>
    <w:rsid w:val="00CE43F6"/>
    <w:rsid w:val="00CF1A19"/>
    <w:rsid w:val="00CF327B"/>
    <w:rsid w:val="00CF758C"/>
    <w:rsid w:val="00D03AF3"/>
    <w:rsid w:val="00D06092"/>
    <w:rsid w:val="00D06309"/>
    <w:rsid w:val="00D06788"/>
    <w:rsid w:val="00D1118A"/>
    <w:rsid w:val="00D219C6"/>
    <w:rsid w:val="00D24994"/>
    <w:rsid w:val="00D34CB1"/>
    <w:rsid w:val="00D34E3F"/>
    <w:rsid w:val="00D4256D"/>
    <w:rsid w:val="00D4673F"/>
    <w:rsid w:val="00D531CE"/>
    <w:rsid w:val="00D560E9"/>
    <w:rsid w:val="00D60474"/>
    <w:rsid w:val="00D64A5A"/>
    <w:rsid w:val="00D6773E"/>
    <w:rsid w:val="00D8237D"/>
    <w:rsid w:val="00DA028B"/>
    <w:rsid w:val="00DA2085"/>
    <w:rsid w:val="00DA4A6D"/>
    <w:rsid w:val="00DA6CBA"/>
    <w:rsid w:val="00DA74FE"/>
    <w:rsid w:val="00DA7E4D"/>
    <w:rsid w:val="00DB0987"/>
    <w:rsid w:val="00DB4FD7"/>
    <w:rsid w:val="00DB62B1"/>
    <w:rsid w:val="00DB6E2A"/>
    <w:rsid w:val="00DC04AD"/>
    <w:rsid w:val="00DD12A7"/>
    <w:rsid w:val="00DD6F21"/>
    <w:rsid w:val="00DE1DFE"/>
    <w:rsid w:val="00DE4A28"/>
    <w:rsid w:val="00E0143D"/>
    <w:rsid w:val="00E041D4"/>
    <w:rsid w:val="00E14070"/>
    <w:rsid w:val="00E141DA"/>
    <w:rsid w:val="00E17835"/>
    <w:rsid w:val="00E21E45"/>
    <w:rsid w:val="00E245C5"/>
    <w:rsid w:val="00E379A5"/>
    <w:rsid w:val="00E51EE8"/>
    <w:rsid w:val="00E52DE5"/>
    <w:rsid w:val="00E60270"/>
    <w:rsid w:val="00E612A9"/>
    <w:rsid w:val="00E61CF7"/>
    <w:rsid w:val="00E64772"/>
    <w:rsid w:val="00E65A21"/>
    <w:rsid w:val="00E70130"/>
    <w:rsid w:val="00E72356"/>
    <w:rsid w:val="00E743D9"/>
    <w:rsid w:val="00E74EAA"/>
    <w:rsid w:val="00E7508C"/>
    <w:rsid w:val="00E75F58"/>
    <w:rsid w:val="00E8585F"/>
    <w:rsid w:val="00E934BD"/>
    <w:rsid w:val="00E97F41"/>
    <w:rsid w:val="00EA485E"/>
    <w:rsid w:val="00EB69E4"/>
    <w:rsid w:val="00EC45BF"/>
    <w:rsid w:val="00ED071D"/>
    <w:rsid w:val="00ED3D8E"/>
    <w:rsid w:val="00EF1666"/>
    <w:rsid w:val="00EF5CCC"/>
    <w:rsid w:val="00EF5DC9"/>
    <w:rsid w:val="00F00A83"/>
    <w:rsid w:val="00F14987"/>
    <w:rsid w:val="00F41625"/>
    <w:rsid w:val="00F44406"/>
    <w:rsid w:val="00F4606C"/>
    <w:rsid w:val="00F466F5"/>
    <w:rsid w:val="00F46B87"/>
    <w:rsid w:val="00F55275"/>
    <w:rsid w:val="00F638D6"/>
    <w:rsid w:val="00F6711F"/>
    <w:rsid w:val="00F74464"/>
    <w:rsid w:val="00F84D20"/>
    <w:rsid w:val="00F87AD0"/>
    <w:rsid w:val="00FA41EE"/>
    <w:rsid w:val="00FB2B95"/>
    <w:rsid w:val="00FB3477"/>
    <w:rsid w:val="00FC05DA"/>
    <w:rsid w:val="00FC47A8"/>
    <w:rsid w:val="00FE059F"/>
    <w:rsid w:val="00FF39B2"/>
    <w:rsid w:val="00FF7866"/>
    <w:rsid w:val="00FF7B17"/>
    <w:rsid w:val="00FF7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DFF0C"/>
  <w15:docId w15:val="{3E2C1D6B-59EE-453C-BAA3-3486D55E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47F2C"/>
    <w:pPr>
      <w:spacing w:after="200" w:line="276" w:lineRule="auto"/>
      <w:jc w:val="both"/>
    </w:pPr>
    <w:rPr>
      <w:sz w:val="22"/>
      <w:szCs w:val="22"/>
      <w:lang w:val="en-US" w:eastAsia="en-US"/>
    </w:rPr>
  </w:style>
  <w:style w:type="paragraph" w:styleId="Heading1">
    <w:name w:val="heading 1"/>
    <w:basedOn w:val="Normal"/>
    <w:next w:val="Normal"/>
    <w:link w:val="Heading1Char"/>
    <w:autoRedefine/>
    <w:uiPriority w:val="9"/>
    <w:qFormat/>
    <w:rsid w:val="00E141DA"/>
    <w:pPr>
      <w:keepNext/>
      <w:keepLines/>
      <w:spacing w:before="480" w:after="0"/>
      <w:jc w:val="left"/>
      <w:outlineLvl w:val="0"/>
    </w:pPr>
    <w:rPr>
      <w:rFonts w:eastAsia="Times New Roman"/>
      <w:b/>
      <w:bCs/>
      <w:color w:val="FFC000"/>
      <w:szCs w:val="28"/>
    </w:rPr>
  </w:style>
  <w:style w:type="paragraph" w:styleId="Heading2">
    <w:name w:val="heading 2"/>
    <w:basedOn w:val="Normal"/>
    <w:next w:val="Normal"/>
    <w:link w:val="Heading2Char"/>
    <w:autoRedefine/>
    <w:uiPriority w:val="9"/>
    <w:unhideWhenUsed/>
    <w:qFormat/>
    <w:rsid w:val="00D531CE"/>
    <w:pPr>
      <w:keepNext/>
      <w:keepLines/>
      <w:spacing w:before="200" w:after="0"/>
      <w:jc w:val="left"/>
      <w:outlineLvl w:val="1"/>
    </w:pPr>
    <w:rPr>
      <w:rFonts w:eastAsia="Times New Roman"/>
      <w:b/>
      <w:bCs/>
      <w:color w:val="00B0F0"/>
      <w:szCs w:val="26"/>
    </w:rPr>
  </w:style>
  <w:style w:type="paragraph" w:styleId="Heading3">
    <w:name w:val="heading 3"/>
    <w:basedOn w:val="Normal"/>
    <w:next w:val="Normal"/>
    <w:link w:val="Heading3Char"/>
    <w:uiPriority w:val="9"/>
    <w:unhideWhenUsed/>
    <w:qFormat/>
    <w:rsid w:val="008E3ABC"/>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BE4BE1"/>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141DA"/>
    <w:rPr>
      <w:rFonts w:ascii="Calibri" w:eastAsia="Times New Roman" w:hAnsi="Calibri"/>
      <w:b/>
      <w:bCs/>
      <w:color w:val="FFC000"/>
      <w:sz w:val="22"/>
      <w:szCs w:val="28"/>
      <w:lang w:val="en-US" w:eastAsia="en-US"/>
    </w:rPr>
  </w:style>
  <w:style w:type="character" w:customStyle="1" w:styleId="Heading2Char">
    <w:name w:val="Heading 2 Char"/>
    <w:link w:val="Heading2"/>
    <w:uiPriority w:val="9"/>
    <w:rsid w:val="00D531CE"/>
    <w:rPr>
      <w:rFonts w:ascii="Calibri" w:eastAsia="Times New Roman" w:hAnsi="Calibri"/>
      <w:b/>
      <w:bCs/>
      <w:color w:val="00B0F0"/>
      <w:sz w:val="22"/>
      <w:szCs w:val="26"/>
      <w:lang w:val="en-US" w:eastAsia="en-US"/>
    </w:rPr>
  </w:style>
  <w:style w:type="paragraph" w:styleId="ListParagraph">
    <w:name w:val="List Paragraph"/>
    <w:aliases w:val="normal"/>
    <w:basedOn w:val="Normal"/>
    <w:uiPriority w:val="34"/>
    <w:qFormat/>
    <w:rsid w:val="003C55C9"/>
    <w:pPr>
      <w:ind w:left="720"/>
      <w:contextualSpacing/>
    </w:pPr>
  </w:style>
  <w:style w:type="paragraph" w:customStyle="1" w:styleId="p">
    <w:name w:val="p"/>
    <w:basedOn w:val="Normal"/>
    <w:rsid w:val="00A72B81"/>
    <w:pPr>
      <w:spacing w:before="100" w:beforeAutospacing="1" w:after="100" w:afterAutospacing="1" w:line="240" w:lineRule="auto"/>
      <w:jc w:val="left"/>
    </w:pPr>
    <w:rPr>
      <w:rFonts w:eastAsia="Times New Roman"/>
      <w:szCs w:val="24"/>
    </w:rPr>
  </w:style>
  <w:style w:type="character" w:styleId="Hyperlink">
    <w:name w:val="Hyperlink"/>
    <w:uiPriority w:val="99"/>
    <w:unhideWhenUsed/>
    <w:rsid w:val="00A72B81"/>
    <w:rPr>
      <w:color w:val="0000FF"/>
      <w:u w:val="single"/>
    </w:rPr>
  </w:style>
  <w:style w:type="character" w:styleId="Emphasis">
    <w:name w:val="Emphasis"/>
    <w:uiPriority w:val="20"/>
    <w:qFormat/>
    <w:rsid w:val="00A72B81"/>
    <w:rPr>
      <w:i/>
      <w:iCs/>
    </w:rPr>
  </w:style>
  <w:style w:type="paragraph" w:styleId="NormalWeb">
    <w:name w:val="Normal (Web)"/>
    <w:basedOn w:val="Normal"/>
    <w:uiPriority w:val="99"/>
    <w:unhideWhenUsed/>
    <w:rsid w:val="00A72B81"/>
    <w:pPr>
      <w:spacing w:before="100" w:beforeAutospacing="1" w:after="100" w:afterAutospacing="1" w:line="240" w:lineRule="auto"/>
      <w:jc w:val="left"/>
    </w:pPr>
    <w:rPr>
      <w:rFonts w:eastAsia="Times New Roman"/>
      <w:szCs w:val="24"/>
    </w:rPr>
  </w:style>
  <w:style w:type="character" w:customStyle="1" w:styleId="element-citation">
    <w:name w:val="element-citation"/>
    <w:basedOn w:val="DefaultParagraphFont"/>
    <w:rsid w:val="00A72B81"/>
  </w:style>
  <w:style w:type="character" w:customStyle="1" w:styleId="ref-journal">
    <w:name w:val="ref-journal"/>
    <w:basedOn w:val="DefaultParagraphFont"/>
    <w:rsid w:val="00A72B81"/>
  </w:style>
  <w:style w:type="character" w:customStyle="1" w:styleId="ref-vol">
    <w:name w:val="ref-vol"/>
    <w:basedOn w:val="DefaultParagraphFont"/>
    <w:rsid w:val="00A72B81"/>
  </w:style>
  <w:style w:type="character" w:customStyle="1" w:styleId="nowrap">
    <w:name w:val="nowrap"/>
    <w:basedOn w:val="DefaultParagraphFont"/>
    <w:rsid w:val="00A72B81"/>
  </w:style>
  <w:style w:type="character" w:customStyle="1" w:styleId="Heading4Char">
    <w:name w:val="Heading 4 Char"/>
    <w:link w:val="Heading4"/>
    <w:uiPriority w:val="9"/>
    <w:semiHidden/>
    <w:rsid w:val="00BE4BE1"/>
    <w:rPr>
      <w:rFonts w:ascii="Cambria" w:eastAsia="Times New Roman" w:hAnsi="Cambria" w:cs="Times New Roman"/>
      <w:b/>
      <w:bCs/>
      <w:i/>
      <w:iCs/>
      <w:color w:val="4F81BD"/>
      <w:sz w:val="24"/>
    </w:rPr>
  </w:style>
  <w:style w:type="paragraph" w:customStyle="1" w:styleId="Default">
    <w:name w:val="Default"/>
    <w:rsid w:val="008724A0"/>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uiPriority w:val="59"/>
    <w:rsid w:val="00137E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730012"/>
    <w:rPr>
      <w:b/>
      <w:bCs/>
    </w:rPr>
  </w:style>
  <w:style w:type="table" w:styleId="LightShading">
    <w:name w:val="Light Shading"/>
    <w:basedOn w:val="TableNormal"/>
    <w:uiPriority w:val="60"/>
    <w:rsid w:val="009C2042"/>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citation">
    <w:name w:val="citation"/>
    <w:basedOn w:val="DefaultParagraphFont"/>
    <w:rsid w:val="009C2042"/>
  </w:style>
  <w:style w:type="paragraph" w:styleId="Footer">
    <w:name w:val="footer"/>
    <w:basedOn w:val="Normal"/>
    <w:link w:val="FooterChar"/>
    <w:uiPriority w:val="99"/>
    <w:rsid w:val="000F4FEE"/>
    <w:pPr>
      <w:tabs>
        <w:tab w:val="center" w:pos="4680"/>
        <w:tab w:val="right" w:pos="9360"/>
      </w:tabs>
      <w:spacing w:after="0" w:line="240" w:lineRule="auto"/>
      <w:jc w:val="left"/>
    </w:pPr>
    <w:rPr>
      <w:rFonts w:eastAsia="Times New Roman"/>
      <w:szCs w:val="24"/>
    </w:rPr>
  </w:style>
  <w:style w:type="character" w:customStyle="1" w:styleId="FooterChar">
    <w:name w:val="Footer Char"/>
    <w:link w:val="Footer"/>
    <w:uiPriority w:val="99"/>
    <w:rsid w:val="000F4FEE"/>
    <w:rPr>
      <w:rFonts w:ascii="Times New Roman" w:eastAsia="Times New Roman" w:hAnsi="Times New Roman" w:cs="Times New Roman"/>
      <w:sz w:val="24"/>
      <w:szCs w:val="24"/>
    </w:rPr>
  </w:style>
  <w:style w:type="paragraph" w:styleId="NoSpacing">
    <w:name w:val="No Spacing"/>
    <w:uiPriority w:val="1"/>
    <w:rsid w:val="000F4FEE"/>
    <w:rPr>
      <w:rFonts w:ascii="Times New Roman" w:eastAsia="Times New Roman" w:hAnsi="Times New Roman"/>
      <w:sz w:val="24"/>
      <w:szCs w:val="24"/>
      <w:lang w:val="en-US" w:eastAsia="en-US"/>
    </w:rPr>
  </w:style>
  <w:style w:type="paragraph" w:styleId="TOC2">
    <w:name w:val="toc 2"/>
    <w:basedOn w:val="Normal"/>
    <w:next w:val="Normal"/>
    <w:autoRedefine/>
    <w:uiPriority w:val="39"/>
    <w:rsid w:val="008F4365"/>
    <w:pPr>
      <w:tabs>
        <w:tab w:val="right" w:leader="dot" w:pos="8630"/>
      </w:tabs>
      <w:spacing w:after="100" w:line="240" w:lineRule="auto"/>
      <w:ind w:left="240"/>
      <w:jc w:val="left"/>
    </w:pPr>
    <w:rPr>
      <w:rFonts w:eastAsia="Times New Roman"/>
      <w:noProof/>
      <w:szCs w:val="24"/>
    </w:rPr>
  </w:style>
  <w:style w:type="paragraph" w:styleId="Header">
    <w:name w:val="header"/>
    <w:basedOn w:val="Normal"/>
    <w:link w:val="HeaderChar"/>
    <w:uiPriority w:val="99"/>
    <w:unhideWhenUsed/>
    <w:rsid w:val="00462ACB"/>
    <w:pPr>
      <w:tabs>
        <w:tab w:val="center" w:pos="4680"/>
        <w:tab w:val="right" w:pos="9360"/>
      </w:tabs>
      <w:spacing w:after="0" w:line="240" w:lineRule="auto"/>
    </w:pPr>
  </w:style>
  <w:style w:type="character" w:customStyle="1" w:styleId="HeaderChar">
    <w:name w:val="Header Char"/>
    <w:link w:val="Header"/>
    <w:uiPriority w:val="99"/>
    <w:rsid w:val="00462ACB"/>
    <w:rPr>
      <w:rFonts w:ascii="Times New Roman" w:hAnsi="Times New Roman"/>
      <w:sz w:val="24"/>
    </w:rPr>
  </w:style>
  <w:style w:type="paragraph" w:styleId="TOCHeading">
    <w:name w:val="TOC Heading"/>
    <w:basedOn w:val="Heading1"/>
    <w:next w:val="Normal"/>
    <w:uiPriority w:val="39"/>
    <w:unhideWhenUsed/>
    <w:qFormat/>
    <w:rsid w:val="00E245C5"/>
    <w:pPr>
      <w:outlineLvl w:val="9"/>
    </w:pPr>
    <w:rPr>
      <w:rFonts w:ascii="Cambria" w:hAnsi="Cambria"/>
      <w:color w:val="365F91"/>
      <w:sz w:val="28"/>
      <w:lang w:eastAsia="ja-JP"/>
    </w:rPr>
  </w:style>
  <w:style w:type="paragraph" w:styleId="TOC1">
    <w:name w:val="toc 1"/>
    <w:basedOn w:val="Normal"/>
    <w:next w:val="Normal"/>
    <w:autoRedefine/>
    <w:uiPriority w:val="39"/>
    <w:unhideWhenUsed/>
    <w:rsid w:val="006F660D"/>
    <w:pPr>
      <w:tabs>
        <w:tab w:val="right" w:leader="dot" w:pos="9356"/>
      </w:tabs>
      <w:spacing w:after="100"/>
      <w:ind w:left="709" w:hanging="709"/>
      <w:jc w:val="center"/>
    </w:pPr>
    <w:rPr>
      <w:b/>
      <w:noProof/>
      <w:szCs w:val="24"/>
    </w:rPr>
  </w:style>
  <w:style w:type="paragraph" w:styleId="BalloonText">
    <w:name w:val="Balloon Text"/>
    <w:basedOn w:val="Normal"/>
    <w:link w:val="BalloonTextChar"/>
    <w:uiPriority w:val="99"/>
    <w:semiHidden/>
    <w:unhideWhenUsed/>
    <w:rsid w:val="00E245C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245C5"/>
    <w:rPr>
      <w:rFonts w:ascii="Tahoma" w:hAnsi="Tahoma" w:cs="Tahoma"/>
      <w:sz w:val="16"/>
      <w:szCs w:val="16"/>
    </w:rPr>
  </w:style>
  <w:style w:type="character" w:customStyle="1" w:styleId="st">
    <w:name w:val="st"/>
    <w:basedOn w:val="DefaultParagraphFont"/>
    <w:rsid w:val="00BB4B85"/>
  </w:style>
  <w:style w:type="character" w:customStyle="1" w:styleId="Heading3Char">
    <w:name w:val="Heading 3 Char"/>
    <w:link w:val="Heading3"/>
    <w:uiPriority w:val="9"/>
    <w:rsid w:val="008E3ABC"/>
    <w:rPr>
      <w:rFonts w:ascii="Cambria" w:eastAsia="Times New Roman" w:hAnsi="Cambria" w:cs="Times New Roman"/>
      <w:b/>
      <w:bCs/>
      <w:color w:val="4F81BD"/>
      <w:sz w:val="24"/>
    </w:rPr>
  </w:style>
  <w:style w:type="paragraph" w:styleId="FootnoteText">
    <w:name w:val="footnote text"/>
    <w:basedOn w:val="Normal"/>
    <w:link w:val="FootnoteTextChar"/>
    <w:uiPriority w:val="99"/>
    <w:semiHidden/>
    <w:unhideWhenUsed/>
    <w:rsid w:val="006D68D4"/>
    <w:pPr>
      <w:spacing w:after="0" w:line="240" w:lineRule="auto"/>
    </w:pPr>
    <w:rPr>
      <w:sz w:val="20"/>
      <w:szCs w:val="20"/>
      <w:lang w:val="en-GB"/>
    </w:rPr>
  </w:style>
  <w:style w:type="character" w:customStyle="1" w:styleId="FootnoteTextChar">
    <w:name w:val="Footnote Text Char"/>
    <w:link w:val="FootnoteText"/>
    <w:uiPriority w:val="99"/>
    <w:semiHidden/>
    <w:rsid w:val="006D68D4"/>
    <w:rPr>
      <w:lang w:eastAsia="en-US"/>
    </w:rPr>
  </w:style>
  <w:style w:type="character" w:styleId="FootnoteReference">
    <w:name w:val="footnote reference"/>
    <w:uiPriority w:val="99"/>
    <w:semiHidden/>
    <w:unhideWhenUsed/>
    <w:rsid w:val="006D68D4"/>
    <w:rPr>
      <w:vertAlign w:val="superscript"/>
    </w:rPr>
  </w:style>
  <w:style w:type="paragraph" w:styleId="TOC3">
    <w:name w:val="toc 3"/>
    <w:basedOn w:val="Normal"/>
    <w:next w:val="Normal"/>
    <w:autoRedefine/>
    <w:uiPriority w:val="39"/>
    <w:unhideWhenUsed/>
    <w:rsid w:val="004D57D2"/>
    <w:pPr>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646762">
      <w:bodyDiv w:val="1"/>
      <w:marLeft w:val="0"/>
      <w:marRight w:val="0"/>
      <w:marTop w:val="0"/>
      <w:marBottom w:val="0"/>
      <w:divBdr>
        <w:top w:val="none" w:sz="0" w:space="0" w:color="auto"/>
        <w:left w:val="none" w:sz="0" w:space="0" w:color="auto"/>
        <w:bottom w:val="none" w:sz="0" w:space="0" w:color="auto"/>
        <w:right w:val="none" w:sz="0" w:space="0" w:color="auto"/>
      </w:divBdr>
    </w:div>
    <w:div w:id="665935830">
      <w:bodyDiv w:val="1"/>
      <w:marLeft w:val="0"/>
      <w:marRight w:val="0"/>
      <w:marTop w:val="0"/>
      <w:marBottom w:val="0"/>
      <w:divBdr>
        <w:top w:val="none" w:sz="0" w:space="0" w:color="auto"/>
        <w:left w:val="none" w:sz="0" w:space="0" w:color="auto"/>
        <w:bottom w:val="none" w:sz="0" w:space="0" w:color="auto"/>
        <w:right w:val="none" w:sz="0" w:space="0" w:color="auto"/>
      </w:divBdr>
    </w:div>
    <w:div w:id="699085830">
      <w:bodyDiv w:val="1"/>
      <w:marLeft w:val="0"/>
      <w:marRight w:val="0"/>
      <w:marTop w:val="0"/>
      <w:marBottom w:val="0"/>
      <w:divBdr>
        <w:top w:val="none" w:sz="0" w:space="0" w:color="auto"/>
        <w:left w:val="none" w:sz="0" w:space="0" w:color="auto"/>
        <w:bottom w:val="none" w:sz="0" w:space="0" w:color="auto"/>
        <w:right w:val="none" w:sz="0" w:space="0" w:color="auto"/>
      </w:divBdr>
      <w:divsChild>
        <w:div w:id="321665272">
          <w:marLeft w:val="0"/>
          <w:marRight w:val="0"/>
          <w:marTop w:val="0"/>
          <w:marBottom w:val="0"/>
          <w:divBdr>
            <w:top w:val="none" w:sz="0" w:space="0" w:color="auto"/>
            <w:left w:val="none" w:sz="0" w:space="0" w:color="auto"/>
            <w:bottom w:val="none" w:sz="0" w:space="0" w:color="auto"/>
            <w:right w:val="none" w:sz="0" w:space="0" w:color="auto"/>
          </w:divBdr>
        </w:div>
        <w:div w:id="1079403340">
          <w:marLeft w:val="0"/>
          <w:marRight w:val="0"/>
          <w:marTop w:val="0"/>
          <w:marBottom w:val="0"/>
          <w:divBdr>
            <w:top w:val="none" w:sz="0" w:space="0" w:color="auto"/>
            <w:left w:val="none" w:sz="0" w:space="0" w:color="auto"/>
            <w:bottom w:val="none" w:sz="0" w:space="0" w:color="auto"/>
            <w:right w:val="none" w:sz="0" w:space="0" w:color="auto"/>
          </w:divBdr>
        </w:div>
      </w:divsChild>
    </w:div>
    <w:div w:id="851070551">
      <w:bodyDiv w:val="1"/>
      <w:marLeft w:val="0"/>
      <w:marRight w:val="0"/>
      <w:marTop w:val="0"/>
      <w:marBottom w:val="0"/>
      <w:divBdr>
        <w:top w:val="none" w:sz="0" w:space="0" w:color="auto"/>
        <w:left w:val="none" w:sz="0" w:space="0" w:color="auto"/>
        <w:bottom w:val="none" w:sz="0" w:space="0" w:color="auto"/>
        <w:right w:val="none" w:sz="0" w:space="0" w:color="auto"/>
      </w:divBdr>
    </w:div>
    <w:div w:id="856384636">
      <w:bodyDiv w:val="1"/>
      <w:marLeft w:val="0"/>
      <w:marRight w:val="0"/>
      <w:marTop w:val="0"/>
      <w:marBottom w:val="0"/>
      <w:divBdr>
        <w:top w:val="none" w:sz="0" w:space="0" w:color="auto"/>
        <w:left w:val="none" w:sz="0" w:space="0" w:color="auto"/>
        <w:bottom w:val="none" w:sz="0" w:space="0" w:color="auto"/>
        <w:right w:val="none" w:sz="0" w:space="0" w:color="auto"/>
      </w:divBdr>
      <w:divsChild>
        <w:div w:id="2095320383">
          <w:marLeft w:val="0"/>
          <w:marRight w:val="0"/>
          <w:marTop w:val="0"/>
          <w:marBottom w:val="0"/>
          <w:divBdr>
            <w:top w:val="none" w:sz="0" w:space="0" w:color="auto"/>
            <w:left w:val="none" w:sz="0" w:space="0" w:color="auto"/>
            <w:bottom w:val="none" w:sz="0" w:space="0" w:color="auto"/>
            <w:right w:val="none" w:sz="0" w:space="0" w:color="auto"/>
          </w:divBdr>
          <w:divsChild>
            <w:div w:id="68540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895474">
      <w:bodyDiv w:val="1"/>
      <w:marLeft w:val="0"/>
      <w:marRight w:val="0"/>
      <w:marTop w:val="0"/>
      <w:marBottom w:val="0"/>
      <w:divBdr>
        <w:top w:val="none" w:sz="0" w:space="0" w:color="auto"/>
        <w:left w:val="none" w:sz="0" w:space="0" w:color="auto"/>
        <w:bottom w:val="none" w:sz="0" w:space="0" w:color="auto"/>
        <w:right w:val="none" w:sz="0" w:space="0" w:color="auto"/>
      </w:divBdr>
    </w:div>
    <w:div w:id="1167866637">
      <w:bodyDiv w:val="1"/>
      <w:marLeft w:val="0"/>
      <w:marRight w:val="0"/>
      <w:marTop w:val="0"/>
      <w:marBottom w:val="0"/>
      <w:divBdr>
        <w:top w:val="none" w:sz="0" w:space="0" w:color="auto"/>
        <w:left w:val="none" w:sz="0" w:space="0" w:color="auto"/>
        <w:bottom w:val="none" w:sz="0" w:space="0" w:color="auto"/>
        <w:right w:val="none" w:sz="0" w:space="0" w:color="auto"/>
      </w:divBdr>
    </w:div>
    <w:div w:id="1206411428">
      <w:bodyDiv w:val="1"/>
      <w:marLeft w:val="0"/>
      <w:marRight w:val="0"/>
      <w:marTop w:val="0"/>
      <w:marBottom w:val="0"/>
      <w:divBdr>
        <w:top w:val="none" w:sz="0" w:space="0" w:color="auto"/>
        <w:left w:val="none" w:sz="0" w:space="0" w:color="auto"/>
        <w:bottom w:val="none" w:sz="0" w:space="0" w:color="auto"/>
        <w:right w:val="none" w:sz="0" w:space="0" w:color="auto"/>
      </w:divBdr>
    </w:div>
    <w:div w:id="1436094839">
      <w:bodyDiv w:val="1"/>
      <w:marLeft w:val="0"/>
      <w:marRight w:val="0"/>
      <w:marTop w:val="0"/>
      <w:marBottom w:val="0"/>
      <w:divBdr>
        <w:top w:val="none" w:sz="0" w:space="0" w:color="auto"/>
        <w:left w:val="none" w:sz="0" w:space="0" w:color="auto"/>
        <w:bottom w:val="none" w:sz="0" w:space="0" w:color="auto"/>
        <w:right w:val="none" w:sz="0" w:space="0" w:color="auto"/>
      </w:divBdr>
    </w:div>
    <w:div w:id="1438014554">
      <w:bodyDiv w:val="1"/>
      <w:marLeft w:val="0"/>
      <w:marRight w:val="0"/>
      <w:marTop w:val="0"/>
      <w:marBottom w:val="0"/>
      <w:divBdr>
        <w:top w:val="none" w:sz="0" w:space="0" w:color="auto"/>
        <w:left w:val="none" w:sz="0" w:space="0" w:color="auto"/>
        <w:bottom w:val="none" w:sz="0" w:space="0" w:color="auto"/>
        <w:right w:val="none" w:sz="0" w:space="0" w:color="auto"/>
      </w:divBdr>
    </w:div>
    <w:div w:id="1491098012">
      <w:bodyDiv w:val="1"/>
      <w:marLeft w:val="0"/>
      <w:marRight w:val="0"/>
      <w:marTop w:val="0"/>
      <w:marBottom w:val="0"/>
      <w:divBdr>
        <w:top w:val="none" w:sz="0" w:space="0" w:color="auto"/>
        <w:left w:val="none" w:sz="0" w:space="0" w:color="auto"/>
        <w:bottom w:val="none" w:sz="0" w:space="0" w:color="auto"/>
        <w:right w:val="none" w:sz="0" w:space="0" w:color="auto"/>
      </w:divBdr>
    </w:div>
    <w:div w:id="1500346153">
      <w:bodyDiv w:val="1"/>
      <w:marLeft w:val="0"/>
      <w:marRight w:val="0"/>
      <w:marTop w:val="0"/>
      <w:marBottom w:val="0"/>
      <w:divBdr>
        <w:top w:val="none" w:sz="0" w:space="0" w:color="auto"/>
        <w:left w:val="none" w:sz="0" w:space="0" w:color="auto"/>
        <w:bottom w:val="none" w:sz="0" w:space="0" w:color="auto"/>
        <w:right w:val="none" w:sz="0" w:space="0" w:color="auto"/>
      </w:divBdr>
    </w:div>
    <w:div w:id="1552182143">
      <w:bodyDiv w:val="1"/>
      <w:marLeft w:val="0"/>
      <w:marRight w:val="0"/>
      <w:marTop w:val="0"/>
      <w:marBottom w:val="0"/>
      <w:divBdr>
        <w:top w:val="none" w:sz="0" w:space="0" w:color="auto"/>
        <w:left w:val="none" w:sz="0" w:space="0" w:color="auto"/>
        <w:bottom w:val="none" w:sz="0" w:space="0" w:color="auto"/>
        <w:right w:val="none" w:sz="0" w:space="0" w:color="auto"/>
      </w:divBdr>
    </w:div>
    <w:div w:id="1628195287">
      <w:bodyDiv w:val="1"/>
      <w:marLeft w:val="0"/>
      <w:marRight w:val="0"/>
      <w:marTop w:val="0"/>
      <w:marBottom w:val="0"/>
      <w:divBdr>
        <w:top w:val="none" w:sz="0" w:space="0" w:color="auto"/>
        <w:left w:val="none" w:sz="0" w:space="0" w:color="auto"/>
        <w:bottom w:val="none" w:sz="0" w:space="0" w:color="auto"/>
        <w:right w:val="none" w:sz="0" w:space="0" w:color="auto"/>
      </w:divBdr>
      <w:divsChild>
        <w:div w:id="224337938">
          <w:marLeft w:val="0"/>
          <w:marRight w:val="0"/>
          <w:marTop w:val="0"/>
          <w:marBottom w:val="0"/>
          <w:divBdr>
            <w:top w:val="none" w:sz="0" w:space="0" w:color="auto"/>
            <w:left w:val="none" w:sz="0" w:space="0" w:color="auto"/>
            <w:bottom w:val="none" w:sz="0" w:space="0" w:color="auto"/>
            <w:right w:val="none" w:sz="0" w:space="0" w:color="auto"/>
          </w:divBdr>
        </w:div>
        <w:div w:id="299310990">
          <w:marLeft w:val="0"/>
          <w:marRight w:val="0"/>
          <w:marTop w:val="0"/>
          <w:marBottom w:val="0"/>
          <w:divBdr>
            <w:top w:val="none" w:sz="0" w:space="0" w:color="auto"/>
            <w:left w:val="none" w:sz="0" w:space="0" w:color="auto"/>
            <w:bottom w:val="none" w:sz="0" w:space="0" w:color="auto"/>
            <w:right w:val="none" w:sz="0" w:space="0" w:color="auto"/>
          </w:divBdr>
        </w:div>
      </w:divsChild>
    </w:div>
    <w:div w:id="1745058039">
      <w:bodyDiv w:val="1"/>
      <w:marLeft w:val="0"/>
      <w:marRight w:val="0"/>
      <w:marTop w:val="0"/>
      <w:marBottom w:val="0"/>
      <w:divBdr>
        <w:top w:val="none" w:sz="0" w:space="0" w:color="auto"/>
        <w:left w:val="none" w:sz="0" w:space="0" w:color="auto"/>
        <w:bottom w:val="none" w:sz="0" w:space="0" w:color="auto"/>
        <w:right w:val="none" w:sz="0" w:space="0" w:color="auto"/>
      </w:divBdr>
    </w:div>
    <w:div w:id="1903565716">
      <w:bodyDiv w:val="1"/>
      <w:marLeft w:val="0"/>
      <w:marRight w:val="0"/>
      <w:marTop w:val="0"/>
      <w:marBottom w:val="0"/>
      <w:divBdr>
        <w:top w:val="none" w:sz="0" w:space="0" w:color="auto"/>
        <w:left w:val="none" w:sz="0" w:space="0" w:color="auto"/>
        <w:bottom w:val="none" w:sz="0" w:space="0" w:color="auto"/>
        <w:right w:val="none" w:sz="0" w:space="0" w:color="auto"/>
      </w:divBdr>
    </w:div>
    <w:div w:id="2121219981">
      <w:bodyDiv w:val="1"/>
      <w:marLeft w:val="0"/>
      <w:marRight w:val="0"/>
      <w:marTop w:val="0"/>
      <w:marBottom w:val="0"/>
      <w:divBdr>
        <w:top w:val="none" w:sz="0" w:space="0" w:color="auto"/>
        <w:left w:val="none" w:sz="0" w:space="0" w:color="auto"/>
        <w:bottom w:val="none" w:sz="0" w:space="0" w:color="auto"/>
        <w:right w:val="none" w:sz="0" w:space="0" w:color="auto"/>
      </w:divBdr>
      <w:divsChild>
        <w:div w:id="303047176">
          <w:marLeft w:val="0"/>
          <w:marRight w:val="0"/>
          <w:marTop w:val="0"/>
          <w:marBottom w:val="0"/>
          <w:divBdr>
            <w:top w:val="none" w:sz="0" w:space="0" w:color="auto"/>
            <w:left w:val="none" w:sz="0" w:space="0" w:color="auto"/>
            <w:bottom w:val="none" w:sz="0" w:space="0" w:color="auto"/>
            <w:right w:val="none" w:sz="0" w:space="0" w:color="auto"/>
          </w:divBdr>
        </w:div>
        <w:div w:id="6181463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hart" Target="charts/chart4.xml"/><Relationship Id="rId26" Type="http://schemas.openxmlformats.org/officeDocument/2006/relationships/chart" Target="charts/chart10.xml"/><Relationship Id="rId3" Type="http://schemas.openxmlformats.org/officeDocument/2006/relationships/customXml" Target="../customXml/item3.xml"/><Relationship Id="rId21" Type="http://schemas.openxmlformats.org/officeDocument/2006/relationships/chart" Target="charts/chart7.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hart" Target="charts/chart3.xml"/><Relationship Id="rId25" Type="http://schemas.openxmlformats.org/officeDocument/2006/relationships/chart" Target="charts/chart9.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chart" Target="charts/chart8.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image" Target="media/image6.jpeg"/><Relationship Id="rId28" Type="http://schemas.openxmlformats.org/officeDocument/2006/relationships/chart" Target="charts/chart12.xml"/><Relationship Id="rId10" Type="http://schemas.openxmlformats.org/officeDocument/2006/relationships/endnotes" Target="endnotes.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5.jpeg"/><Relationship Id="rId27" Type="http://schemas.openxmlformats.org/officeDocument/2006/relationships/chart" Target="charts/chart11.xml"/><Relationship Id="rId30" Type="http://schemas.openxmlformats.org/officeDocument/2006/relationships/chart" Target="charts/chart14.xml"/></Relationships>
</file>

<file path=word/_rels/footnotes.xml.rels><?xml version="1.0" encoding="UTF-8" standalone="yes"?>
<Relationships xmlns="http://schemas.openxmlformats.org/package/2006/relationships"><Relationship Id="rId1" Type="http://schemas.openxmlformats.org/officeDocument/2006/relationships/hyperlink" Target="https://www.unhcr.org/ke/wp-content/uploads/sites/2/2018/12/KISEDP-Strategic-Overview.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charts/_rels/chart1.xml.rels><?xml version="1.0" encoding="UTF-8" standalone="yes"?>
<Relationships xmlns="http://schemas.openxmlformats.org/package/2006/relationships"><Relationship Id="rId2" Type="http://schemas.openxmlformats.org/officeDocument/2006/relationships/oleObject" Target="file:///C:\Users\M&amp;E\AppData\Local\Microsoft\Windows\INetCache\Content.Outlook\DTHG34HZ\November-%202019-Monthly%20Water%20Supply%20Report.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M&amp;E\AppData\Local\Microsoft\Windows\INetCache\Content.Outlook\DTHG34HZ\November-%202019-Monthly%20Water%20Supply%20Report.xl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M&amp;E\AppData\Local\Microsoft\Windows\INetCache\Content.Outlook\DTHG34HZ\LATRINE%20COVERAGE%20IN%20KAKUMA-NOVEMBER%202019.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oleObject" Target="file:///C:\Users\M&amp;E\Desktop\New%20folder\WASH%20KAP%20Analysis%20tool%20%20v9.12_FR_ENG.xlsm" TargetMode="External"/><Relationship Id="rId1" Type="http://schemas.openxmlformats.org/officeDocument/2006/relationships/themeOverride" Target="../theme/themeOverrid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Calibri"/>
                <a:ea typeface="Calibri"/>
                <a:cs typeface="Calibri"/>
              </a:defRPr>
            </a:pPr>
            <a:r>
              <a:rPr lang="en-GB"/>
              <a:t>Graph of Per Capita Water Consumption in Kakuma</a:t>
            </a:r>
          </a:p>
        </c:rich>
      </c:tx>
      <c:layout>
        <c:manualLayout>
          <c:xMode val="edge"/>
          <c:yMode val="edge"/>
          <c:x val="0.12828221943955118"/>
          <c:y val="0"/>
        </c:manualLayout>
      </c:layout>
      <c:overlay val="0"/>
    </c:title>
    <c:autoTitleDeleted val="0"/>
    <c:plotArea>
      <c:layout>
        <c:manualLayout>
          <c:layoutTarget val="inner"/>
          <c:xMode val="edge"/>
          <c:yMode val="edge"/>
          <c:x val="7.5176554347710589E-2"/>
          <c:y val="0.13298386652717359"/>
          <c:w val="0.88901333429368368"/>
          <c:h val="0.67675540860790462"/>
        </c:manualLayout>
      </c:layout>
      <c:lineChart>
        <c:grouping val="stacked"/>
        <c:varyColors val="0"/>
        <c:ser>
          <c:idx val="0"/>
          <c:order val="0"/>
          <c:spPr>
            <a:ln>
              <a:solidFill>
                <a:schemeClr val="tx1"/>
              </a:solidFill>
            </a:ln>
          </c:spPr>
          <c:marker>
            <c:symbol val="diamond"/>
            <c:size val="7"/>
            <c:spPr>
              <a:solidFill>
                <a:srgbClr val="00B0F0"/>
              </a:solidFill>
            </c:spPr>
          </c:marker>
          <c:dLbls>
            <c:dLbl>
              <c:idx val="9"/>
              <c:layout>
                <c:manualLayout>
                  <c:x val="0"/>
                  <c:y val="3.6407766990291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D1A-4840-A532-65D3A8E3A8C8}"/>
                </c:ext>
              </c:extLst>
            </c:dLbl>
            <c:spPr>
              <a:noFill/>
              <a:ln>
                <a:noFill/>
              </a:ln>
              <a:effectLst/>
            </c:spPr>
            <c:txPr>
              <a:bodyPr wrap="square" lIns="38100" tIns="19050" rIns="38100" bIns="19050" anchor="ctr">
                <a:spAutoFit/>
              </a:bodyPr>
              <a:lstStyle/>
              <a:p>
                <a:pPr>
                  <a:defRPr sz="1100"/>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'Kakuma Water Prod. Nov. 19'!$A$3:$A$13</c:f>
              <c:numCache>
                <c:formatCode>mmm\-yy</c:formatCode>
                <c:ptCount val="11"/>
                <c:pt idx="0">
                  <c:v>43466</c:v>
                </c:pt>
                <c:pt idx="1">
                  <c:v>43497</c:v>
                </c:pt>
                <c:pt idx="2">
                  <c:v>43525</c:v>
                </c:pt>
                <c:pt idx="3">
                  <c:v>43556</c:v>
                </c:pt>
                <c:pt idx="4">
                  <c:v>43586</c:v>
                </c:pt>
                <c:pt idx="5">
                  <c:v>43617</c:v>
                </c:pt>
                <c:pt idx="6">
                  <c:v>43647</c:v>
                </c:pt>
                <c:pt idx="7">
                  <c:v>43678</c:v>
                </c:pt>
                <c:pt idx="8">
                  <c:v>43709</c:v>
                </c:pt>
                <c:pt idx="9">
                  <c:v>43739</c:v>
                </c:pt>
                <c:pt idx="10">
                  <c:v>43770</c:v>
                </c:pt>
              </c:numCache>
            </c:numRef>
          </c:cat>
          <c:val>
            <c:numRef>
              <c:f>'Kakuma Water Prod. Nov. 19'!$G$3:$G$13</c:f>
              <c:numCache>
                <c:formatCode>0.00</c:formatCode>
                <c:ptCount val="11"/>
                <c:pt idx="0">
                  <c:v>21.6413202302356</c:v>
                </c:pt>
                <c:pt idx="1">
                  <c:v>19.121945108060498</c:v>
                </c:pt>
                <c:pt idx="2">
                  <c:v>19.206823141912245</c:v>
                </c:pt>
                <c:pt idx="3">
                  <c:v>19.233378410343612</c:v>
                </c:pt>
                <c:pt idx="4">
                  <c:v>21.332367544654442</c:v>
                </c:pt>
                <c:pt idx="5">
                  <c:v>19.132959529472743</c:v>
                </c:pt>
                <c:pt idx="6">
                  <c:v>19.819071903434736</c:v>
                </c:pt>
                <c:pt idx="7">
                  <c:v>19.932654020901069</c:v>
                </c:pt>
                <c:pt idx="8">
                  <c:v>21.421115111582775</c:v>
                </c:pt>
                <c:pt idx="9">
                  <c:v>19.283472890124571</c:v>
                </c:pt>
                <c:pt idx="10">
                  <c:v>19.4267085844596</c:v>
                </c:pt>
              </c:numCache>
            </c:numRef>
          </c:val>
          <c:smooth val="0"/>
          <c:extLst>
            <c:ext xmlns:c16="http://schemas.microsoft.com/office/drawing/2014/chart" uri="{C3380CC4-5D6E-409C-BE32-E72D297353CC}">
              <c16:uniqueId val="{00000001-BD1A-4840-A532-65D3A8E3A8C8}"/>
            </c:ext>
          </c:extLst>
        </c:ser>
        <c:dLbls>
          <c:showLegendKey val="0"/>
          <c:showVal val="0"/>
          <c:showCatName val="0"/>
          <c:showSerName val="0"/>
          <c:showPercent val="0"/>
          <c:showBubbleSize val="0"/>
        </c:dLbls>
        <c:marker val="1"/>
        <c:smooth val="0"/>
        <c:axId val="102757120"/>
        <c:axId val="102759040"/>
      </c:lineChart>
      <c:dateAx>
        <c:axId val="102757120"/>
        <c:scaling>
          <c:orientation val="minMax"/>
        </c:scaling>
        <c:delete val="0"/>
        <c:axPos val="b"/>
        <c:minorGridlines>
          <c:spPr>
            <a:ln>
              <a:solidFill>
                <a:srgbClr val="00B050"/>
              </a:solidFill>
            </a:ln>
          </c:spPr>
        </c:minorGridlines>
        <c:title>
          <c:tx>
            <c:rich>
              <a:bodyPr/>
              <a:lstStyle/>
              <a:p>
                <a:pPr>
                  <a:defRPr sz="1000" b="1" i="0" u="none" strike="noStrike" baseline="0">
                    <a:solidFill>
                      <a:srgbClr val="000000"/>
                    </a:solidFill>
                    <a:latin typeface="Calibri"/>
                    <a:ea typeface="Calibri"/>
                    <a:cs typeface="Calibri"/>
                  </a:defRPr>
                </a:pPr>
                <a:r>
                  <a:rPr lang="en-GB"/>
                  <a:t>Months</a:t>
                </a:r>
              </a:p>
            </c:rich>
          </c:tx>
          <c:overlay val="0"/>
        </c:title>
        <c:numFmt formatCode="mmm\/yy" sourceLinked="0"/>
        <c:majorTickMark val="out"/>
        <c:minorTickMark val="none"/>
        <c:tickLblPos val="nextTo"/>
        <c:txPr>
          <a:bodyPr rot="-2700000" vert="horz"/>
          <a:lstStyle/>
          <a:p>
            <a:pPr>
              <a:defRPr sz="1000" b="0" i="0" u="none" strike="noStrike" baseline="0">
                <a:solidFill>
                  <a:srgbClr val="000000"/>
                </a:solidFill>
                <a:latin typeface="Calibri"/>
                <a:ea typeface="Calibri"/>
                <a:cs typeface="Calibri"/>
              </a:defRPr>
            </a:pPr>
            <a:endParaRPr lang="en-KE"/>
          </a:p>
        </c:txPr>
        <c:crossAx val="102759040"/>
        <c:crosses val="autoZero"/>
        <c:auto val="1"/>
        <c:lblOffset val="100"/>
        <c:baseTimeUnit val="months"/>
      </c:dateAx>
      <c:valAx>
        <c:axId val="102759040"/>
        <c:scaling>
          <c:orientation val="minMax"/>
          <c:min val="5"/>
        </c:scaling>
        <c:delete val="0"/>
        <c:axPos val="l"/>
        <c:majorGridlines/>
        <c:title>
          <c:tx>
            <c:rich>
              <a:bodyPr/>
              <a:lstStyle/>
              <a:p>
                <a:pPr>
                  <a:defRPr sz="1000" b="1" i="0" u="none" strike="noStrike" baseline="0">
                    <a:solidFill>
                      <a:srgbClr val="000000"/>
                    </a:solidFill>
                    <a:latin typeface="Calibri"/>
                    <a:ea typeface="Calibri"/>
                    <a:cs typeface="Calibri"/>
                  </a:defRPr>
                </a:pPr>
                <a:r>
                  <a:rPr lang="en-GB"/>
                  <a:t>Per Capita Water Consumption in L/P/D</a:t>
                </a:r>
              </a:p>
            </c:rich>
          </c:tx>
          <c:layout>
            <c:manualLayout>
              <c:xMode val="edge"/>
              <c:yMode val="edge"/>
              <c:x val="0"/>
              <c:y val="0.13798140299928777"/>
            </c:manualLayout>
          </c:layout>
          <c:overlay val="0"/>
        </c:title>
        <c:numFmt formatCode="0" sourceLinked="0"/>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KE"/>
          </a:p>
        </c:txPr>
        <c:crossAx val="102757120"/>
        <c:crosses val="autoZero"/>
        <c:crossBetween val="between"/>
        <c:majorUnit val="1"/>
        <c:minorUnit val="1"/>
      </c:valAx>
      <c:spPr>
        <a:solidFill>
          <a:schemeClr val="accent6">
            <a:lumMod val="40000"/>
            <a:lumOff val="60000"/>
          </a:schemeClr>
        </a:solidFill>
      </c:spPr>
    </c:plotArea>
    <c:plotVisOnly val="1"/>
    <c:dispBlanksAs val="zero"/>
    <c:showDLblsOverMax val="0"/>
  </c:chart>
  <c:spPr>
    <a:solidFill>
      <a:schemeClr val="accent1">
        <a:lumMod val="60000"/>
        <a:lumOff val="40000"/>
      </a:schemeClr>
    </a:solidFill>
  </c:spPr>
  <c:txPr>
    <a:bodyPr/>
    <a:lstStyle/>
    <a:p>
      <a:pPr>
        <a:defRPr sz="1000" b="0" i="0" u="none" strike="noStrike" baseline="0">
          <a:solidFill>
            <a:srgbClr val="000000"/>
          </a:solidFill>
          <a:latin typeface="Calibri"/>
          <a:ea typeface="Calibri"/>
          <a:cs typeface="Calibri"/>
        </a:defRPr>
      </a:pPr>
      <a:endParaRPr lang="en-KE"/>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Calibri"/>
                <a:ea typeface="Calibri"/>
                <a:cs typeface="Calibri"/>
              </a:defRPr>
            </a:pPr>
            <a:r>
              <a:rPr lang="en-GB"/>
              <a:t>Graph of Per Capita Water Consumption in Kalobeyei</a:t>
            </a:r>
          </a:p>
        </c:rich>
      </c:tx>
      <c:layout>
        <c:manualLayout>
          <c:xMode val="edge"/>
          <c:yMode val="edge"/>
          <c:x val="0.12828221731799097"/>
          <c:y val="0"/>
        </c:manualLayout>
      </c:layout>
      <c:overlay val="0"/>
    </c:title>
    <c:autoTitleDeleted val="0"/>
    <c:plotArea>
      <c:layout>
        <c:manualLayout>
          <c:layoutTarget val="inner"/>
          <c:xMode val="edge"/>
          <c:yMode val="edge"/>
          <c:x val="0.10232544221874545"/>
          <c:y val="0.12178128509989466"/>
          <c:w val="0.89119119067771246"/>
          <c:h val="0.71720841990094919"/>
        </c:manualLayout>
      </c:layout>
      <c:lineChart>
        <c:grouping val="stacked"/>
        <c:varyColors val="0"/>
        <c:ser>
          <c:idx val="0"/>
          <c:order val="0"/>
          <c:spPr>
            <a:ln>
              <a:solidFill>
                <a:schemeClr val="tx1"/>
              </a:solidFill>
            </a:ln>
          </c:spPr>
          <c:marker>
            <c:symbol val="diamond"/>
            <c:size val="7"/>
            <c:spPr>
              <a:solidFill>
                <a:srgbClr val="00B0F0"/>
              </a:solidFill>
            </c:spPr>
          </c:marker>
          <c:dLbls>
            <c:spPr>
              <a:noFill/>
              <a:ln>
                <a:noFill/>
              </a:ln>
              <a:effectLst/>
            </c:spPr>
            <c:txPr>
              <a:bodyPr wrap="square" lIns="38100" tIns="19050" rIns="38100" bIns="19050" anchor="ctr">
                <a:spAutoFit/>
              </a:bodyPr>
              <a:lstStyle/>
              <a:p>
                <a:pPr>
                  <a:defRPr sz="1100"/>
                </a:pPr>
                <a:endParaRPr lang="en-KE"/>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'Kalob Water Prod. Nov. 19'!$A$3:$A$13</c:f>
              <c:numCache>
                <c:formatCode>mmm\-yy</c:formatCode>
                <c:ptCount val="11"/>
                <c:pt idx="0">
                  <c:v>43466</c:v>
                </c:pt>
                <c:pt idx="1">
                  <c:v>43497</c:v>
                </c:pt>
                <c:pt idx="2">
                  <c:v>43525</c:v>
                </c:pt>
                <c:pt idx="3">
                  <c:v>43556</c:v>
                </c:pt>
                <c:pt idx="4">
                  <c:v>43586</c:v>
                </c:pt>
                <c:pt idx="5">
                  <c:v>43617</c:v>
                </c:pt>
                <c:pt idx="6">
                  <c:v>43647</c:v>
                </c:pt>
                <c:pt idx="7">
                  <c:v>43678</c:v>
                </c:pt>
                <c:pt idx="8">
                  <c:v>43709</c:v>
                </c:pt>
                <c:pt idx="9">
                  <c:v>43739</c:v>
                </c:pt>
                <c:pt idx="10">
                  <c:v>43770</c:v>
                </c:pt>
              </c:numCache>
            </c:numRef>
          </c:cat>
          <c:val>
            <c:numRef>
              <c:f>'Kalob Water Prod. Nov. 19'!$G$3:$G$13</c:f>
              <c:numCache>
                <c:formatCode>0.00</c:formatCode>
                <c:ptCount val="11"/>
                <c:pt idx="0">
                  <c:v>17.90654818792126</c:v>
                </c:pt>
                <c:pt idx="1">
                  <c:v>22.010508575394073</c:v>
                </c:pt>
                <c:pt idx="2">
                  <c:v>20.964831770052161</c:v>
                </c:pt>
                <c:pt idx="3">
                  <c:v>20.480222068008327</c:v>
                </c:pt>
                <c:pt idx="4">
                  <c:v>21.28167698614946</c:v>
                </c:pt>
                <c:pt idx="5">
                  <c:v>20.340134102365443</c:v>
                </c:pt>
                <c:pt idx="6">
                  <c:v>20.499500610467834</c:v>
                </c:pt>
                <c:pt idx="7">
                  <c:v>19.107847684101696</c:v>
                </c:pt>
                <c:pt idx="8">
                  <c:v>19.33202212434324</c:v>
                </c:pt>
                <c:pt idx="9">
                  <c:v>18.108802942445909</c:v>
                </c:pt>
                <c:pt idx="10">
                  <c:v>17.550809348366066</c:v>
                </c:pt>
              </c:numCache>
            </c:numRef>
          </c:val>
          <c:smooth val="0"/>
          <c:extLst>
            <c:ext xmlns:c16="http://schemas.microsoft.com/office/drawing/2014/chart" uri="{C3380CC4-5D6E-409C-BE32-E72D297353CC}">
              <c16:uniqueId val="{00000000-8B5B-41AD-87DD-DCF2B91D97AC}"/>
            </c:ext>
          </c:extLst>
        </c:ser>
        <c:dLbls>
          <c:showLegendKey val="0"/>
          <c:showVal val="0"/>
          <c:showCatName val="0"/>
          <c:showSerName val="0"/>
          <c:showPercent val="0"/>
          <c:showBubbleSize val="0"/>
        </c:dLbls>
        <c:marker val="1"/>
        <c:smooth val="0"/>
        <c:axId val="102906880"/>
        <c:axId val="102925440"/>
      </c:lineChart>
      <c:dateAx>
        <c:axId val="102906880"/>
        <c:scaling>
          <c:orientation val="minMax"/>
        </c:scaling>
        <c:delete val="0"/>
        <c:axPos val="b"/>
        <c:minorGridlines>
          <c:spPr>
            <a:ln>
              <a:solidFill>
                <a:srgbClr val="00B050"/>
              </a:solidFill>
            </a:ln>
          </c:spPr>
        </c:minorGridlines>
        <c:title>
          <c:tx>
            <c:rich>
              <a:bodyPr/>
              <a:lstStyle/>
              <a:p>
                <a:pPr>
                  <a:defRPr sz="1000" b="1" i="0" u="none" strike="noStrike" baseline="0">
                    <a:solidFill>
                      <a:srgbClr val="000000"/>
                    </a:solidFill>
                    <a:latin typeface="Calibri"/>
                    <a:ea typeface="Calibri"/>
                    <a:cs typeface="Calibri"/>
                  </a:defRPr>
                </a:pPr>
                <a:r>
                  <a:rPr lang="en-GB"/>
                  <a:t>Months</a:t>
                </a:r>
              </a:p>
            </c:rich>
          </c:tx>
          <c:overlay val="0"/>
        </c:title>
        <c:numFmt formatCode="mmm\/yy" sourceLinked="0"/>
        <c:majorTickMark val="out"/>
        <c:minorTickMark val="none"/>
        <c:tickLblPos val="nextTo"/>
        <c:txPr>
          <a:bodyPr rot="-2700000" vert="horz"/>
          <a:lstStyle/>
          <a:p>
            <a:pPr>
              <a:defRPr sz="1000" b="0" i="0" u="none" strike="noStrike" baseline="0">
                <a:solidFill>
                  <a:srgbClr val="000000"/>
                </a:solidFill>
                <a:latin typeface="Calibri"/>
                <a:ea typeface="Calibri"/>
                <a:cs typeface="Calibri"/>
              </a:defRPr>
            </a:pPr>
            <a:endParaRPr lang="en-KE"/>
          </a:p>
        </c:txPr>
        <c:crossAx val="102925440"/>
        <c:crosses val="autoZero"/>
        <c:auto val="1"/>
        <c:lblOffset val="100"/>
        <c:baseTimeUnit val="months"/>
      </c:dateAx>
      <c:valAx>
        <c:axId val="102925440"/>
        <c:scaling>
          <c:orientation val="minMax"/>
          <c:min val="5"/>
        </c:scaling>
        <c:delete val="0"/>
        <c:axPos val="l"/>
        <c:majorGridlines/>
        <c:title>
          <c:tx>
            <c:rich>
              <a:bodyPr/>
              <a:lstStyle/>
              <a:p>
                <a:pPr>
                  <a:defRPr sz="1000" b="1" i="0" u="none" strike="noStrike" baseline="0">
                    <a:solidFill>
                      <a:srgbClr val="000000"/>
                    </a:solidFill>
                    <a:latin typeface="Calibri"/>
                    <a:ea typeface="Calibri"/>
                    <a:cs typeface="Calibri"/>
                  </a:defRPr>
                </a:pPr>
                <a:r>
                  <a:rPr lang="en-GB"/>
                  <a:t>Per Capita Water Consumption in L/P/D</a:t>
                </a:r>
              </a:p>
            </c:rich>
          </c:tx>
          <c:overlay val="0"/>
        </c:title>
        <c:numFmt formatCode="0" sourceLinked="0"/>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KE"/>
          </a:p>
        </c:txPr>
        <c:crossAx val="102906880"/>
        <c:crosses val="autoZero"/>
        <c:crossBetween val="between"/>
        <c:majorUnit val="1"/>
        <c:minorUnit val="1"/>
      </c:valAx>
      <c:spPr>
        <a:solidFill>
          <a:schemeClr val="accent6">
            <a:lumMod val="40000"/>
            <a:lumOff val="60000"/>
          </a:schemeClr>
        </a:solidFill>
      </c:spPr>
    </c:plotArea>
    <c:plotVisOnly val="1"/>
    <c:dispBlanksAs val="zero"/>
    <c:showDLblsOverMax val="0"/>
  </c:chart>
  <c:spPr>
    <a:solidFill>
      <a:schemeClr val="accent1">
        <a:lumMod val="60000"/>
        <a:lumOff val="40000"/>
      </a:schemeClr>
    </a:solidFill>
  </c:spPr>
  <c:txPr>
    <a:bodyPr/>
    <a:lstStyle/>
    <a:p>
      <a:pPr>
        <a:defRPr sz="1000" b="0" i="0" u="none" strike="noStrike" baseline="0">
          <a:solidFill>
            <a:srgbClr val="000000"/>
          </a:solidFill>
          <a:latin typeface="Calibri"/>
          <a:ea typeface="Calibri"/>
          <a:cs typeface="Calibri"/>
        </a:defRPr>
      </a:pPr>
      <a:endParaRPr lang="en-KE"/>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2368379629629629"/>
          <c:y val="0.23052277777777777"/>
          <c:w val="0.94133688271604943"/>
          <c:h val="0.66977638888888891"/>
        </c:manualLayout>
      </c:layout>
      <c:pieChart>
        <c:varyColors val="1"/>
        <c:ser>
          <c:idx val="0"/>
          <c:order val="0"/>
          <c:tx>
            <c:v>Main</c:v>
          </c:tx>
          <c:dPt>
            <c:idx val="0"/>
            <c:bubble3D val="0"/>
            <c:spPr>
              <a:solidFill>
                <a:schemeClr val="accent6"/>
              </a:solidFill>
              <a:ln>
                <a:noFill/>
              </a:ln>
              <a:effectLst/>
            </c:spPr>
            <c:extLst>
              <c:ext xmlns:c16="http://schemas.microsoft.com/office/drawing/2014/chart" uri="{C3380CC4-5D6E-409C-BE32-E72D297353CC}">
                <c16:uniqueId val="{00000001-DED0-4D36-9451-6DA829006D62}"/>
              </c:ext>
            </c:extLst>
          </c:dPt>
          <c:dPt>
            <c:idx val="1"/>
            <c:bubble3D val="0"/>
            <c:spPr>
              <a:solidFill>
                <a:schemeClr val="accent5"/>
              </a:solidFill>
              <a:ln>
                <a:noFill/>
              </a:ln>
              <a:effectLst/>
            </c:spPr>
            <c:extLst>
              <c:ext xmlns:c16="http://schemas.microsoft.com/office/drawing/2014/chart" uri="{C3380CC4-5D6E-409C-BE32-E72D297353CC}">
                <c16:uniqueId val="{00000003-DED0-4D36-9451-6DA829006D62}"/>
              </c:ext>
            </c:extLst>
          </c:dPt>
          <c:dPt>
            <c:idx val="2"/>
            <c:bubble3D val="0"/>
            <c:spPr>
              <a:solidFill>
                <a:schemeClr val="accent4"/>
              </a:solidFill>
              <a:ln>
                <a:noFill/>
              </a:ln>
              <a:effectLst/>
            </c:spPr>
            <c:extLst>
              <c:ext xmlns:c16="http://schemas.microsoft.com/office/drawing/2014/chart" uri="{C3380CC4-5D6E-409C-BE32-E72D297353CC}">
                <c16:uniqueId val="{00000005-DED0-4D36-9451-6DA829006D62}"/>
              </c:ext>
            </c:extLst>
          </c:dPt>
          <c:dPt>
            <c:idx val="3"/>
            <c:bubble3D val="0"/>
            <c:spPr>
              <a:solidFill>
                <a:schemeClr val="accent6">
                  <a:lumMod val="60000"/>
                </a:schemeClr>
              </a:solidFill>
              <a:ln>
                <a:noFill/>
              </a:ln>
              <a:effectLst/>
            </c:spPr>
            <c:extLst>
              <c:ext xmlns:c16="http://schemas.microsoft.com/office/drawing/2014/chart" uri="{C3380CC4-5D6E-409C-BE32-E72D297353CC}">
                <c16:uniqueId val="{00000007-DED0-4D36-9451-6DA829006D62}"/>
              </c:ext>
            </c:extLst>
          </c:dPt>
          <c:dPt>
            <c:idx val="4"/>
            <c:bubble3D val="0"/>
            <c:spPr>
              <a:solidFill>
                <a:schemeClr val="accent5">
                  <a:lumMod val="60000"/>
                </a:schemeClr>
              </a:solidFill>
              <a:ln>
                <a:noFill/>
              </a:ln>
              <a:effectLst/>
            </c:spPr>
            <c:extLst>
              <c:ext xmlns:c16="http://schemas.microsoft.com/office/drawing/2014/chart" uri="{C3380CC4-5D6E-409C-BE32-E72D297353CC}">
                <c16:uniqueId val="{00000009-DED0-4D36-9451-6DA829006D62}"/>
              </c:ext>
            </c:extLst>
          </c:dPt>
          <c:dLbls>
            <c:dLbl>
              <c:idx val="0"/>
              <c:layout>
                <c:manualLayout>
                  <c:x val="2.2408963585434174E-2"/>
                  <c:y val="0.10595556949243237"/>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23556302521008404"/>
                      <c:h val="0.3213426966130512"/>
                    </c:manualLayout>
                  </c15:layout>
                </c:ext>
                <c:ext xmlns:c16="http://schemas.microsoft.com/office/drawing/2014/chart" uri="{C3380CC4-5D6E-409C-BE32-E72D297353CC}">
                  <c16:uniqueId val="{00000001-DED0-4D36-9451-6DA829006D62}"/>
                </c:ext>
              </c:extLst>
            </c:dLbl>
            <c:dLbl>
              <c:idx val="1"/>
              <c:layout>
                <c:manualLayout>
                  <c:x val="-4.0336134453781564E-2"/>
                  <c:y val="0.14814814814814814"/>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25716526610644252"/>
                      <c:h val="0.26673629337999416"/>
                    </c:manualLayout>
                  </c15:layout>
                </c:ext>
                <c:ext xmlns:c16="http://schemas.microsoft.com/office/drawing/2014/chart" uri="{C3380CC4-5D6E-409C-BE32-E72D297353CC}">
                  <c16:uniqueId val="{00000003-DED0-4D36-9451-6DA829006D62}"/>
                </c:ext>
              </c:extLst>
            </c:dLbl>
            <c:dLbl>
              <c:idx val="2"/>
              <c:layout>
                <c:manualLayout>
                  <c:x val="-0.14117638236396921"/>
                  <c:y val="0.35185185185185186"/>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2736023291206246"/>
                      <c:h val="0.21949074074074071"/>
                    </c:manualLayout>
                  </c15:layout>
                </c:ext>
                <c:ext xmlns:c16="http://schemas.microsoft.com/office/drawing/2014/chart" uri="{C3380CC4-5D6E-409C-BE32-E72D297353CC}">
                  <c16:uniqueId val="{00000005-DED0-4D36-9451-6DA829006D62}"/>
                </c:ext>
              </c:extLst>
            </c:dLbl>
            <c:dLbl>
              <c:idx val="3"/>
              <c:layout>
                <c:manualLayout>
                  <c:x val="-0.33638271686627408"/>
                  <c:y val="2.7549943671789298E-3"/>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36410084033613443"/>
                      <c:h val="0.28692804064453575"/>
                    </c:manualLayout>
                  </c15:layout>
                </c:ext>
                <c:ext xmlns:c16="http://schemas.microsoft.com/office/drawing/2014/chart" uri="{C3380CC4-5D6E-409C-BE32-E72D297353CC}">
                  <c16:uniqueId val="{00000007-DED0-4D36-9451-6DA829006D62}"/>
                </c:ext>
              </c:extLst>
            </c:dLbl>
            <c:dLbl>
              <c:idx val="4"/>
              <c:layout>
                <c:manualLayout>
                  <c:x val="0.26549169589095467"/>
                  <c:y val="9.9129848352289274E-2"/>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17299719887955178"/>
                      <c:h val="0.30282407407407402"/>
                    </c:manualLayout>
                  </c15:layout>
                </c:ext>
                <c:ext xmlns:c16="http://schemas.microsoft.com/office/drawing/2014/chart" uri="{C3380CC4-5D6E-409C-BE32-E72D297353CC}">
                  <c16:uniqueId val="{00000009-DED0-4D36-9451-6DA829006D62}"/>
                </c:ext>
              </c:extLst>
            </c:dLbl>
            <c:spPr>
              <a:solidFill>
                <a:sysClr val="window" lastClr="FFFFFF"/>
              </a:solidFill>
              <a:ln>
                <a:solidFill>
                  <a:sysClr val="windowText" lastClr="000000">
                    <a:lumMod val="65000"/>
                    <a:lumOff val="35000"/>
                  </a:sysClr>
                </a:solid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KE"/>
              </a:p>
            </c:txPr>
            <c:dLblPos val="out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oundRectCallout">
                    <a:avLst/>
                  </a:prstGeom>
                </c15:spPr>
              </c:ext>
            </c:extLst>
          </c:dLbls>
          <c:cat>
            <c:strRef>
              <c:f>[0]!UniqueOutputTable_Labels</c:f>
              <c:strCache>
                <c:ptCount val="5"/>
                <c:pt idx="0">
                  <c:v>1. Adult
female</c:v>
                </c:pt>
                <c:pt idx="1">
                  <c:v>2. Child
(11-18
years)</c:v>
                </c:pt>
                <c:pt idx="2">
                  <c:v>3. Adult
male</c:v>
                </c:pt>
                <c:pt idx="3">
                  <c:v>4. Child
(10
years
or
younger)</c:v>
                </c:pt>
                <c:pt idx="4">
                  <c:v>5. Don’t
know</c:v>
                </c:pt>
              </c:strCache>
            </c:strRef>
          </c:cat>
          <c:val>
            <c:numRef>
              <c:f>[0]!UniqueOutputTable_Values</c:f>
              <c:numCache>
                <c:formatCode>0%</c:formatCode>
                <c:ptCount val="5"/>
                <c:pt idx="0">
                  <c:v>0.58511722731906213</c:v>
                </c:pt>
                <c:pt idx="1">
                  <c:v>0.21916411824668705</c:v>
                </c:pt>
                <c:pt idx="2">
                  <c:v>0.19266055045871561</c:v>
                </c:pt>
                <c:pt idx="3">
                  <c:v>2.0387359836901123E-3</c:v>
                </c:pt>
                <c:pt idx="4">
                  <c:v>1.0193679918450561E-3</c:v>
                </c:pt>
              </c:numCache>
            </c:numRef>
          </c:val>
          <c:extLst>
            <c:ext xmlns:c16="http://schemas.microsoft.com/office/drawing/2014/chart" uri="{C3380CC4-5D6E-409C-BE32-E72D297353CC}">
              <c16:uniqueId val="{0000000A-DED0-4D36-9451-6DA829006D62}"/>
            </c:ext>
          </c:extLst>
        </c:ser>
        <c:dLbls>
          <c:showLegendKey val="0"/>
          <c:showVal val="1"/>
          <c:showCatName val="0"/>
          <c:showSerName val="0"/>
          <c:showPercent val="0"/>
          <c:showBubbleSize val="0"/>
          <c:showLeaderLines val="0"/>
        </c:dLbls>
        <c:firstSliceAng val="0"/>
      </c:pieChart>
      <c:spPr>
        <a:noFill/>
        <a:ln>
          <a:noFill/>
        </a:ln>
        <a:effectLst/>
      </c:spPr>
    </c:plotArea>
    <c:plotVisOnly val="0"/>
    <c:dispBlanksAs val="zero"/>
    <c:showDLblsOverMax val="0"/>
  </c:chart>
  <c:spPr>
    <a:solidFill>
      <a:schemeClr val="bg1"/>
    </a:solidFill>
    <a:ln w="6350" cap="flat" cmpd="sng" algn="ctr">
      <a:noFill/>
      <a:prstDash val="solid"/>
      <a:round/>
    </a:ln>
    <a:effectLst/>
  </c:spPr>
  <c:txPr>
    <a:bodyPr/>
    <a:lstStyle/>
    <a:p>
      <a:pPr>
        <a:defRPr/>
      </a:pPr>
      <a:endParaRPr lang="en-KE"/>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5572839506172843E-2"/>
          <c:y val="5.3872542248008463E-2"/>
          <c:w val="0.94133688271604943"/>
          <c:h val="0.5140811345950177"/>
        </c:manualLayout>
      </c:layout>
      <c:barChart>
        <c:barDir val="col"/>
        <c:grouping val="clustered"/>
        <c:varyColors val="0"/>
        <c:ser>
          <c:idx val="0"/>
          <c:order val="0"/>
          <c:tx>
            <c:v>Main</c:v>
          </c:tx>
          <c:spPr>
            <a:solidFill>
              <a:schemeClr val="accent1"/>
            </a:solidFill>
          </c:spPr>
          <c:invertIfNegative val="0"/>
          <c:dLbls>
            <c:spPr>
              <a:noFill/>
              <a:ln>
                <a:noFill/>
              </a:ln>
              <a:effectLst/>
            </c:spPr>
            <c:txPr>
              <a:bodyPr/>
              <a:lstStyle/>
              <a:p>
                <a:pPr>
                  <a:defRPr sz="1100">
                    <a:latin typeface="+mn-lt"/>
                    <a:cs typeface="Arial" panose="020B0604020202020204" pitchFamily="34" charset="0"/>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[0]!ChoiceOutputTable_Labels</c:f>
              <c:strCache>
                <c:ptCount val="6"/>
                <c:pt idx="0">
                  <c:v>1. Every
time
we
use
them</c:v>
                </c:pt>
                <c:pt idx="1">
                  <c:v>2. At
least
once
a
week</c:v>
                </c:pt>
                <c:pt idx="2">
                  <c:v>3. At
least
once
a
month</c:v>
                </c:pt>
                <c:pt idx="3">
                  <c:v>4. Never
or
less
than
once
a
year</c:v>
                </c:pt>
                <c:pt idx="4">
                  <c:v>5. At
least
once
a
year</c:v>
                </c:pt>
                <c:pt idx="5">
                  <c:v>6. Don't
know</c:v>
                </c:pt>
              </c:strCache>
            </c:strRef>
          </c:cat>
          <c:val>
            <c:numRef>
              <c:f>[0]!ChoiceOutputTable_Values</c:f>
              <c:numCache>
                <c:formatCode>0%</c:formatCode>
                <c:ptCount val="6"/>
                <c:pt idx="0">
                  <c:v>0.51681957186544347</c:v>
                </c:pt>
                <c:pt idx="1">
                  <c:v>0.3058103975535168</c:v>
                </c:pt>
                <c:pt idx="2">
                  <c:v>0.1529051987767584</c:v>
                </c:pt>
                <c:pt idx="3">
                  <c:v>1.4271151885830785E-2</c:v>
                </c:pt>
                <c:pt idx="4">
                  <c:v>6.1162079510703364E-3</c:v>
                </c:pt>
                <c:pt idx="5">
                  <c:v>4.0774719673802246E-3</c:v>
                </c:pt>
              </c:numCache>
            </c:numRef>
          </c:val>
          <c:extLst>
            <c:ext xmlns:c16="http://schemas.microsoft.com/office/drawing/2014/chart" uri="{C3380CC4-5D6E-409C-BE32-E72D297353CC}">
              <c16:uniqueId val="{00000000-9C57-4155-BC5C-4BEE52DB154D}"/>
            </c:ext>
          </c:extLst>
        </c:ser>
        <c:dLbls>
          <c:showLegendKey val="0"/>
          <c:showVal val="0"/>
          <c:showCatName val="0"/>
          <c:showSerName val="0"/>
          <c:showPercent val="0"/>
          <c:showBubbleSize val="0"/>
        </c:dLbls>
        <c:gapWidth val="75"/>
        <c:axId val="103180160"/>
        <c:axId val="103181696"/>
      </c:barChart>
      <c:catAx>
        <c:axId val="103180160"/>
        <c:scaling>
          <c:orientation val="minMax"/>
        </c:scaling>
        <c:delete val="0"/>
        <c:axPos val="b"/>
        <c:numFmt formatCode="General" sourceLinked="1"/>
        <c:majorTickMark val="out"/>
        <c:minorTickMark val="none"/>
        <c:tickLblPos val="nextTo"/>
        <c:txPr>
          <a:bodyPr rot="0" vert="horz"/>
          <a:lstStyle/>
          <a:p>
            <a:pPr>
              <a:defRPr sz="800">
                <a:latin typeface="+mn-lt"/>
                <a:cs typeface="Arial" panose="020B0604020202020204" pitchFamily="34" charset="0"/>
              </a:defRPr>
            </a:pPr>
            <a:endParaRPr lang="en-KE"/>
          </a:p>
        </c:txPr>
        <c:crossAx val="103181696"/>
        <c:crosses val="autoZero"/>
        <c:auto val="1"/>
        <c:lblAlgn val="ctr"/>
        <c:lblOffset val="100"/>
        <c:tickLblSkip val="1"/>
        <c:noMultiLvlLbl val="0"/>
      </c:catAx>
      <c:valAx>
        <c:axId val="103181696"/>
        <c:scaling>
          <c:orientation val="minMax"/>
          <c:max val="1"/>
        </c:scaling>
        <c:delete val="1"/>
        <c:axPos val="l"/>
        <c:majorGridlines>
          <c:spPr>
            <a:ln w="3175">
              <a:solidFill>
                <a:schemeClr val="bg1">
                  <a:lumMod val="75000"/>
                </a:schemeClr>
              </a:solidFill>
            </a:ln>
          </c:spPr>
        </c:majorGridlines>
        <c:numFmt formatCode="0%" sourceLinked="1"/>
        <c:majorTickMark val="out"/>
        <c:minorTickMark val="none"/>
        <c:tickLblPos val="nextTo"/>
        <c:crossAx val="103180160"/>
        <c:crosses val="autoZero"/>
        <c:crossBetween val="between"/>
        <c:majorUnit val="0.2"/>
      </c:valAx>
      <c:spPr>
        <a:noFill/>
      </c:spPr>
    </c:plotArea>
    <c:plotVisOnly val="0"/>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5883628777774263E-4"/>
          <c:y val="1.1350671638971799E-3"/>
          <c:w val="0.99904116371222229"/>
          <c:h val="0.40031906224196273"/>
        </c:manualLayout>
      </c:layout>
      <c:barChart>
        <c:barDir val="col"/>
        <c:grouping val="clustered"/>
        <c:varyColors val="0"/>
        <c:ser>
          <c:idx val="0"/>
          <c:order val="0"/>
          <c:tx>
            <c:v>Main</c:v>
          </c:tx>
          <c:spPr>
            <a:solidFill>
              <a:schemeClr val="accent1"/>
            </a:solidFill>
          </c:spPr>
          <c:invertIfNegative val="0"/>
          <c:dLbls>
            <c:spPr>
              <a:noFill/>
              <a:ln>
                <a:noFill/>
              </a:ln>
              <a:effectLst/>
            </c:spPr>
            <c:txPr>
              <a:bodyPr/>
              <a:lstStyle/>
              <a:p>
                <a:pPr>
                  <a:defRPr sz="1100">
                    <a:latin typeface="+mn-lt"/>
                    <a:cs typeface="Arial" panose="020B0604020202020204" pitchFamily="34" charset="0"/>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[0]!ChoiceOutputTable_Labels</c:f>
              <c:strCache>
                <c:ptCount val="6"/>
                <c:pt idx="0">
                  <c:v>1. Wash
them
with
a
specific
product
(such
as
Omo
detergent
or
bleach,
soap
powder
etc.)</c:v>
                </c:pt>
                <c:pt idx="1">
                  <c:v>2. Rinse
them
with
water</c:v>
                </c:pt>
                <c:pt idx="2">
                  <c:v>3. Wash
them
by
using
rocks/sand
and
shaking</c:v>
                </c:pt>
                <c:pt idx="3">
                  <c:v>4. Wash
them
with
a
piece
of
tissue/sponge</c:v>
                </c:pt>
                <c:pt idx="4">
                  <c:v>5. Don't
know</c:v>
                </c:pt>
                <c:pt idx="5">
                  <c:v>6. Other</c:v>
                </c:pt>
              </c:strCache>
            </c:strRef>
          </c:cat>
          <c:val>
            <c:numRef>
              <c:f>[0]!ChoiceOutputTable_Values</c:f>
              <c:numCache>
                <c:formatCode>0%</c:formatCode>
                <c:ptCount val="6"/>
                <c:pt idx="0">
                  <c:v>0.70320579110651504</c:v>
                </c:pt>
                <c:pt idx="1">
                  <c:v>0.20579110651499483</c:v>
                </c:pt>
                <c:pt idx="2">
                  <c:v>7.5491209927611172E-2</c:v>
                </c:pt>
                <c:pt idx="3">
                  <c:v>1.4477766287487074E-2</c:v>
                </c:pt>
                <c:pt idx="4">
                  <c:v>1.0341261633919339E-3</c:v>
                </c:pt>
                <c:pt idx="5">
                  <c:v>0</c:v>
                </c:pt>
              </c:numCache>
            </c:numRef>
          </c:val>
          <c:extLst>
            <c:ext xmlns:c16="http://schemas.microsoft.com/office/drawing/2014/chart" uri="{C3380CC4-5D6E-409C-BE32-E72D297353CC}">
              <c16:uniqueId val="{00000000-CE76-4FE8-B98A-DB163531F776}"/>
            </c:ext>
          </c:extLst>
        </c:ser>
        <c:dLbls>
          <c:showLegendKey val="0"/>
          <c:showVal val="0"/>
          <c:showCatName val="0"/>
          <c:showSerName val="0"/>
          <c:showPercent val="0"/>
          <c:showBubbleSize val="0"/>
        </c:dLbls>
        <c:gapWidth val="75"/>
        <c:axId val="103189888"/>
        <c:axId val="103212160"/>
      </c:barChart>
      <c:catAx>
        <c:axId val="103189888"/>
        <c:scaling>
          <c:orientation val="minMax"/>
        </c:scaling>
        <c:delete val="0"/>
        <c:axPos val="b"/>
        <c:numFmt formatCode="General" sourceLinked="1"/>
        <c:majorTickMark val="out"/>
        <c:minorTickMark val="none"/>
        <c:tickLblPos val="nextTo"/>
        <c:txPr>
          <a:bodyPr rot="0" vert="horz"/>
          <a:lstStyle/>
          <a:p>
            <a:pPr>
              <a:defRPr sz="800">
                <a:latin typeface="+mn-lt"/>
                <a:cs typeface="Arial" panose="020B0604020202020204" pitchFamily="34" charset="0"/>
              </a:defRPr>
            </a:pPr>
            <a:endParaRPr lang="en-KE"/>
          </a:p>
        </c:txPr>
        <c:crossAx val="103212160"/>
        <c:crosses val="autoZero"/>
        <c:auto val="1"/>
        <c:lblAlgn val="ctr"/>
        <c:lblOffset val="100"/>
        <c:tickLblSkip val="1"/>
        <c:noMultiLvlLbl val="0"/>
      </c:catAx>
      <c:valAx>
        <c:axId val="103212160"/>
        <c:scaling>
          <c:orientation val="minMax"/>
          <c:max val="1"/>
        </c:scaling>
        <c:delete val="1"/>
        <c:axPos val="l"/>
        <c:majorGridlines>
          <c:spPr>
            <a:ln w="3175">
              <a:solidFill>
                <a:schemeClr val="bg1">
                  <a:lumMod val="75000"/>
                </a:schemeClr>
              </a:solidFill>
            </a:ln>
          </c:spPr>
        </c:majorGridlines>
        <c:numFmt formatCode="0%" sourceLinked="1"/>
        <c:majorTickMark val="out"/>
        <c:minorTickMark val="none"/>
        <c:tickLblPos val="nextTo"/>
        <c:crossAx val="103189888"/>
        <c:crosses val="autoZero"/>
        <c:crossBetween val="between"/>
        <c:majorUnit val="0.2"/>
      </c:valAx>
      <c:spPr>
        <a:noFill/>
      </c:spPr>
    </c:plotArea>
    <c:plotVisOnly val="0"/>
    <c:dispBlanksAs val="gap"/>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
          <c:y val="1.6278557285602447E-2"/>
          <c:w val="1"/>
          <c:h val="0.65111104532986008"/>
        </c:manualLayout>
      </c:layout>
      <c:barChart>
        <c:barDir val="col"/>
        <c:grouping val="clustered"/>
        <c:varyColors val="0"/>
        <c:ser>
          <c:idx val="0"/>
          <c:order val="0"/>
          <c:tx>
            <c:v>Main</c:v>
          </c:tx>
          <c:spPr>
            <a:solidFill>
              <a:schemeClr val="accent1"/>
            </a:solidFill>
          </c:spPr>
          <c:invertIfNegative val="0"/>
          <c:dLbls>
            <c:spPr>
              <a:noFill/>
              <a:ln>
                <a:noFill/>
              </a:ln>
              <a:effectLst/>
            </c:spPr>
            <c:txPr>
              <a:bodyPr/>
              <a:lstStyle/>
              <a:p>
                <a:pPr>
                  <a:defRPr sz="1100">
                    <a:latin typeface="+mn-lt"/>
                    <a:cs typeface="Arial" panose="020B0604020202020204" pitchFamily="34" charset="0"/>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[0]!ChoiceOutputTable_Labels</c:f>
              <c:strCache>
                <c:ptCount val="4"/>
                <c:pt idx="0">
                  <c:v>1. No,
we
do
not
treat
it
before
drinking</c:v>
                </c:pt>
                <c:pt idx="1">
                  <c:v>2. Yes,
we
always
treat
it
before
drinking</c:v>
                </c:pt>
                <c:pt idx="2">
                  <c:v>3. Yes,
SOMETIMES
we
treat
it
before
drinking</c:v>
                </c:pt>
                <c:pt idx="3">
                  <c:v>4. Don't
know</c:v>
                </c:pt>
              </c:strCache>
            </c:strRef>
          </c:cat>
          <c:val>
            <c:numRef>
              <c:f>[0]!ChoiceOutputTable_Values</c:f>
              <c:numCache>
                <c:formatCode>0%</c:formatCode>
                <c:ptCount val="4"/>
                <c:pt idx="0">
                  <c:v>0.49878345498783455</c:v>
                </c:pt>
                <c:pt idx="1">
                  <c:v>0.40997566909975669</c:v>
                </c:pt>
                <c:pt idx="2">
                  <c:v>9.1240875912408759E-2</c:v>
                </c:pt>
                <c:pt idx="3">
                  <c:v>0</c:v>
                </c:pt>
              </c:numCache>
            </c:numRef>
          </c:val>
          <c:extLst>
            <c:ext xmlns:c16="http://schemas.microsoft.com/office/drawing/2014/chart" uri="{C3380CC4-5D6E-409C-BE32-E72D297353CC}">
              <c16:uniqueId val="{00000000-9AB9-4D17-ACB9-CDA31F6D374F}"/>
            </c:ext>
          </c:extLst>
        </c:ser>
        <c:dLbls>
          <c:showLegendKey val="0"/>
          <c:showVal val="0"/>
          <c:showCatName val="0"/>
          <c:showSerName val="0"/>
          <c:showPercent val="0"/>
          <c:showBubbleSize val="0"/>
        </c:dLbls>
        <c:gapWidth val="75"/>
        <c:axId val="103367808"/>
        <c:axId val="103369344"/>
      </c:barChart>
      <c:catAx>
        <c:axId val="103367808"/>
        <c:scaling>
          <c:orientation val="minMax"/>
        </c:scaling>
        <c:delete val="0"/>
        <c:axPos val="b"/>
        <c:numFmt formatCode="General" sourceLinked="1"/>
        <c:majorTickMark val="out"/>
        <c:minorTickMark val="none"/>
        <c:tickLblPos val="nextTo"/>
        <c:txPr>
          <a:bodyPr rot="0" vert="horz"/>
          <a:lstStyle/>
          <a:p>
            <a:pPr>
              <a:defRPr sz="800">
                <a:latin typeface="+mn-lt"/>
                <a:cs typeface="Arial" panose="020B0604020202020204" pitchFamily="34" charset="0"/>
              </a:defRPr>
            </a:pPr>
            <a:endParaRPr lang="en-KE"/>
          </a:p>
        </c:txPr>
        <c:crossAx val="103369344"/>
        <c:crosses val="autoZero"/>
        <c:auto val="1"/>
        <c:lblAlgn val="ctr"/>
        <c:lblOffset val="100"/>
        <c:tickLblSkip val="1"/>
        <c:noMultiLvlLbl val="0"/>
      </c:catAx>
      <c:valAx>
        <c:axId val="103369344"/>
        <c:scaling>
          <c:orientation val="minMax"/>
          <c:max val="1"/>
        </c:scaling>
        <c:delete val="1"/>
        <c:axPos val="l"/>
        <c:majorGridlines>
          <c:spPr>
            <a:ln w="3175">
              <a:solidFill>
                <a:schemeClr val="bg1">
                  <a:lumMod val="75000"/>
                </a:schemeClr>
              </a:solidFill>
            </a:ln>
          </c:spPr>
        </c:majorGridlines>
        <c:numFmt formatCode="0%" sourceLinked="1"/>
        <c:majorTickMark val="out"/>
        <c:minorTickMark val="none"/>
        <c:tickLblPos val="nextTo"/>
        <c:crossAx val="103367808"/>
        <c:crosses val="autoZero"/>
        <c:crossBetween val="between"/>
        <c:majorUnit val="0.2"/>
      </c:valAx>
      <c:spPr>
        <a:noFill/>
      </c:spPr>
    </c:plotArea>
    <c:plotVisOnly val="0"/>
    <c:dispBlanksAs val="gap"/>
    <c:showDLblsOverMax val="0"/>
  </c:chart>
  <c:spPr>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
          <c:y val="0"/>
          <c:w val="1"/>
          <c:h val="0.61970839171419367"/>
        </c:manualLayout>
      </c:layout>
      <c:barChart>
        <c:barDir val="col"/>
        <c:grouping val="clustered"/>
        <c:varyColors val="0"/>
        <c:ser>
          <c:idx val="0"/>
          <c:order val="0"/>
          <c:tx>
            <c:v>Main</c:v>
          </c:tx>
          <c:spPr>
            <a:solidFill>
              <a:schemeClr val="accent1"/>
            </a:solidFill>
          </c:spPr>
          <c:invertIfNegative val="0"/>
          <c:dLbls>
            <c:spPr>
              <a:noFill/>
              <a:ln>
                <a:noFill/>
              </a:ln>
              <a:effectLst/>
            </c:spPr>
            <c:txPr>
              <a:bodyPr/>
              <a:lstStyle/>
              <a:p>
                <a:pPr>
                  <a:defRPr sz="1100">
                    <a:latin typeface="+mn-lt"/>
                    <a:cs typeface="Arial" panose="020B0604020202020204" pitchFamily="34" charset="0"/>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[0]!ChoiceOutputTable_Labels</c:f>
              <c:strCache>
                <c:ptCount val="7"/>
                <c:pt idx="0">
                  <c:v>1. Boil
it</c:v>
                </c:pt>
                <c:pt idx="1">
                  <c:v>2. Let
it
stand
and
settle</c:v>
                </c:pt>
                <c:pt idx="2">
                  <c:v>3. Use
disinfection
products</c:v>
                </c:pt>
                <c:pt idx="3">
                  <c:v>4. Expose
it
to
sunlight</c:v>
                </c:pt>
                <c:pt idx="4">
                  <c:v>5. I
don't
know</c:v>
                </c:pt>
                <c:pt idx="5">
                  <c:v>6. Filter
it</c:v>
                </c:pt>
                <c:pt idx="6">
                  <c:v>7. Other</c:v>
                </c:pt>
              </c:strCache>
            </c:strRef>
          </c:cat>
          <c:val>
            <c:numRef>
              <c:f>[0]!ChoiceOutputTable_Values</c:f>
              <c:numCache>
                <c:formatCode>0%</c:formatCode>
                <c:ptCount val="7"/>
                <c:pt idx="0">
                  <c:v>0.57524271844660191</c:v>
                </c:pt>
                <c:pt idx="1">
                  <c:v>0.44174757281553401</c:v>
                </c:pt>
                <c:pt idx="2">
                  <c:v>0.11893203883495146</c:v>
                </c:pt>
                <c:pt idx="3">
                  <c:v>8.9805825242718448E-2</c:v>
                </c:pt>
                <c:pt idx="4">
                  <c:v>1.9417475728155338E-2</c:v>
                </c:pt>
                <c:pt idx="5">
                  <c:v>4.8543689320388345E-3</c:v>
                </c:pt>
                <c:pt idx="6">
                  <c:v>4.8543689320388345E-3</c:v>
                </c:pt>
              </c:numCache>
            </c:numRef>
          </c:val>
          <c:extLst>
            <c:ext xmlns:c16="http://schemas.microsoft.com/office/drawing/2014/chart" uri="{C3380CC4-5D6E-409C-BE32-E72D297353CC}">
              <c16:uniqueId val="{00000000-94F8-478B-89FE-79D0BD4FBCA4}"/>
            </c:ext>
          </c:extLst>
        </c:ser>
        <c:dLbls>
          <c:showLegendKey val="0"/>
          <c:showVal val="0"/>
          <c:showCatName val="0"/>
          <c:showSerName val="0"/>
          <c:showPercent val="0"/>
          <c:showBubbleSize val="0"/>
        </c:dLbls>
        <c:gapWidth val="75"/>
        <c:axId val="103381632"/>
        <c:axId val="103403904"/>
      </c:barChart>
      <c:catAx>
        <c:axId val="103381632"/>
        <c:scaling>
          <c:orientation val="minMax"/>
        </c:scaling>
        <c:delete val="0"/>
        <c:axPos val="b"/>
        <c:numFmt formatCode="General" sourceLinked="1"/>
        <c:majorTickMark val="out"/>
        <c:minorTickMark val="none"/>
        <c:tickLblPos val="nextTo"/>
        <c:txPr>
          <a:bodyPr rot="0" vert="horz"/>
          <a:lstStyle/>
          <a:p>
            <a:pPr>
              <a:defRPr sz="800">
                <a:latin typeface="+mn-lt"/>
                <a:cs typeface="Arial" panose="020B0604020202020204" pitchFamily="34" charset="0"/>
              </a:defRPr>
            </a:pPr>
            <a:endParaRPr lang="en-KE"/>
          </a:p>
        </c:txPr>
        <c:crossAx val="103403904"/>
        <c:crosses val="autoZero"/>
        <c:auto val="1"/>
        <c:lblAlgn val="ctr"/>
        <c:lblOffset val="100"/>
        <c:tickLblSkip val="1"/>
        <c:noMultiLvlLbl val="0"/>
      </c:catAx>
      <c:valAx>
        <c:axId val="103403904"/>
        <c:scaling>
          <c:orientation val="minMax"/>
          <c:max val="1"/>
        </c:scaling>
        <c:delete val="1"/>
        <c:axPos val="l"/>
        <c:majorGridlines>
          <c:spPr>
            <a:ln w="3175">
              <a:solidFill>
                <a:schemeClr val="bg1">
                  <a:lumMod val="75000"/>
                </a:schemeClr>
              </a:solidFill>
            </a:ln>
          </c:spPr>
        </c:majorGridlines>
        <c:numFmt formatCode="0%" sourceLinked="1"/>
        <c:majorTickMark val="out"/>
        <c:minorTickMark val="none"/>
        <c:tickLblPos val="nextTo"/>
        <c:crossAx val="103381632"/>
        <c:crosses val="autoZero"/>
        <c:crossBetween val="between"/>
        <c:majorUnit val="0.2"/>
      </c:valAx>
      <c:spPr>
        <a:noFill/>
      </c:spPr>
    </c:plotArea>
    <c:plotVisOnly val="0"/>
    <c:dispBlanksAs val="gap"/>
    <c:showDLblsOverMax val="0"/>
  </c:chart>
  <c:spPr>
    <a:ln>
      <a:noFill/>
    </a:ln>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200"/>
              <a:t>HOUSEHOLD LATRINE COVERAGE TREND</a:t>
            </a:r>
          </a:p>
        </c:rich>
      </c:tx>
      <c:layout>
        <c:manualLayout>
          <c:xMode val="edge"/>
          <c:yMode val="edge"/>
          <c:x val="0.16653400542505412"/>
          <c:y val="1.3422818791946308E-2"/>
        </c:manualLayout>
      </c:layout>
      <c:overlay val="0"/>
      <c:spPr>
        <a:noFill/>
        <a:ln>
          <a:noFill/>
        </a:ln>
        <a:effectLst/>
      </c:spPr>
    </c:title>
    <c:autoTitleDeleted val="0"/>
    <c:plotArea>
      <c:layout/>
      <c:lineChart>
        <c:grouping val="standard"/>
        <c:varyColors val="0"/>
        <c:ser>
          <c:idx val="0"/>
          <c:order val="0"/>
          <c:tx>
            <c:strRef>
              <c:f>'LATRINE COVERAGE 2019'!$A$17</c:f>
              <c:strCache>
                <c:ptCount val="1"/>
                <c:pt idx="0">
                  <c:v>% LATRINE COVERAGE (HH)</c:v>
                </c:pt>
              </c:strCache>
            </c:strRef>
          </c:tx>
          <c:spPr>
            <a:ln w="34925" cap="rnd">
              <a:solidFill>
                <a:schemeClr val="accent1"/>
              </a:solidFill>
              <a:round/>
            </a:ln>
            <a:effectLst>
              <a:outerShdw blurRad="40000" dist="23000" dir="5400000" rotWithShape="0">
                <a:srgbClr val="000000">
                  <a:alpha val="35000"/>
                </a:srgbClr>
              </a:outerShdw>
            </a:effectLst>
          </c:spPr>
          <c:marker>
            <c:symbol val="none"/>
          </c:marker>
          <c:dLbls>
            <c:spPr>
              <a:solidFill>
                <a:schemeClr val="lt1"/>
              </a:solidFill>
              <a:ln>
                <a:noFill/>
              </a:ln>
              <a:effectLst/>
            </c:spPr>
            <c:txPr>
              <a:bodyPr rot="0" spcFirstLastPara="1" vertOverflow="clip" horzOverflow="clip" vert="horz" wrap="square" lIns="36576" tIns="18288" rIns="36576" bIns="18288" anchor="ctr" anchorCtr="1">
                <a:spAutoFit/>
              </a:bodyPr>
              <a:lstStyle/>
              <a:p>
                <a:pPr>
                  <a:defRPr sz="1100" b="0" i="0" u="none" strike="noStrike" kern="1200" baseline="0">
                    <a:solidFill>
                      <a:schemeClr val="dk1">
                        <a:lumMod val="65000"/>
                        <a:lumOff val="35000"/>
                      </a:schemeClr>
                    </a:solidFill>
                    <a:latin typeface="+mn-lt"/>
                    <a:ea typeface="+mn-ea"/>
                    <a:cs typeface="+mn-cs"/>
                  </a:defRPr>
                </a:pPr>
                <a:endParaRPr lang="en-KE"/>
              </a:p>
            </c:txPr>
            <c:dLblPos val="t"/>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oundRect">
                    <a:avLst/>
                  </a:prstGeom>
                </c15:spPr>
                <c15:showLeaderLines val="1"/>
                <c15:leaderLines>
                  <c:spPr>
                    <a:ln w="9525">
                      <a:solidFill>
                        <a:schemeClr val="lt1">
                          <a:lumMod val="95000"/>
                          <a:alpha val="54000"/>
                        </a:schemeClr>
                      </a:solidFill>
                    </a:ln>
                    <a:effectLst/>
                  </c:spPr>
                </c15:leaderLines>
              </c:ext>
            </c:extLst>
          </c:dLbls>
          <c:cat>
            <c:numRef>
              <c:f>'LATRINE COVERAGE 2019'!$C$16:$J$16</c:f>
              <c:numCache>
                <c:formatCode>mmm\-yy</c:formatCode>
                <c:ptCount val="8"/>
                <c:pt idx="0">
                  <c:v>43556</c:v>
                </c:pt>
                <c:pt idx="1">
                  <c:v>43586</c:v>
                </c:pt>
                <c:pt idx="2">
                  <c:v>43617</c:v>
                </c:pt>
                <c:pt idx="3">
                  <c:v>43647</c:v>
                </c:pt>
                <c:pt idx="4">
                  <c:v>43678</c:v>
                </c:pt>
                <c:pt idx="5">
                  <c:v>43709</c:v>
                </c:pt>
                <c:pt idx="6">
                  <c:v>43739</c:v>
                </c:pt>
                <c:pt idx="7">
                  <c:v>43770</c:v>
                </c:pt>
              </c:numCache>
            </c:numRef>
          </c:cat>
          <c:val>
            <c:numRef>
              <c:f>'LATRINE COVERAGE 2019'!$C$17:$J$17</c:f>
              <c:numCache>
                <c:formatCode>General</c:formatCode>
                <c:ptCount val="8"/>
                <c:pt idx="0">
                  <c:v>35.08</c:v>
                </c:pt>
                <c:pt idx="1">
                  <c:v>34.630000000000003</c:v>
                </c:pt>
                <c:pt idx="2">
                  <c:v>34.68</c:v>
                </c:pt>
                <c:pt idx="3">
                  <c:v>34.85</c:v>
                </c:pt>
                <c:pt idx="4">
                  <c:v>34.56</c:v>
                </c:pt>
                <c:pt idx="5">
                  <c:v>34.869999999999997</c:v>
                </c:pt>
                <c:pt idx="6" formatCode="0.00">
                  <c:v>29.894594594594594</c:v>
                </c:pt>
                <c:pt idx="7" formatCode="0.00">
                  <c:v>30.808108108108108</c:v>
                </c:pt>
              </c:numCache>
            </c:numRef>
          </c:val>
          <c:smooth val="0"/>
          <c:extLst>
            <c:ext xmlns:c16="http://schemas.microsoft.com/office/drawing/2014/chart" uri="{C3380CC4-5D6E-409C-BE32-E72D297353CC}">
              <c16:uniqueId val="{00000000-94E9-48CA-9AFF-71DC506CF708}"/>
            </c:ext>
          </c:extLst>
        </c:ser>
        <c:dLbls>
          <c:dLblPos val="t"/>
          <c:showLegendKey val="0"/>
          <c:showVal val="1"/>
          <c:showCatName val="0"/>
          <c:showSerName val="0"/>
          <c:showPercent val="0"/>
          <c:showBubbleSize val="0"/>
        </c:dLbls>
        <c:smooth val="0"/>
        <c:axId val="103947264"/>
        <c:axId val="103966976"/>
      </c:lineChart>
      <c:dateAx>
        <c:axId val="10394726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900"/>
                  <a:t>MONTHS</a:t>
                </a:r>
              </a:p>
            </c:rich>
          </c:tx>
          <c:layout>
            <c:manualLayout>
              <c:xMode val="edge"/>
              <c:yMode val="edge"/>
              <c:x val="0.42400860980243582"/>
              <c:y val="0.91505575225915547"/>
            </c:manualLayout>
          </c:layout>
          <c:overlay val="0"/>
          <c:spPr>
            <a:noFill/>
            <a:ln>
              <a:noFill/>
            </a:ln>
            <a:effectLst/>
          </c:spPr>
        </c:title>
        <c:numFmt formatCode="mmm\-yy" sourceLinked="1"/>
        <c:majorTickMark val="out"/>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KE"/>
          </a:p>
        </c:txPr>
        <c:crossAx val="103966976"/>
        <c:crosses val="autoZero"/>
        <c:auto val="1"/>
        <c:lblOffset val="100"/>
        <c:baseTimeUnit val="months"/>
      </c:dateAx>
      <c:valAx>
        <c:axId val="1039669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 LATRINE COVERAGE (HH)</a:t>
                </a:r>
              </a:p>
            </c:rich>
          </c:tx>
          <c:layout>
            <c:manualLayout>
              <c:xMode val="edge"/>
              <c:yMode val="edge"/>
              <c:x val="1.1157601115760111E-2"/>
              <c:y val="0.23853828674100302"/>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KE"/>
          </a:p>
        </c:txPr>
        <c:crossAx val="10394726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KE"/>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
          <c:y val="0"/>
          <c:w val="1"/>
          <c:h val="0.71680656079606209"/>
        </c:manualLayout>
      </c:layout>
      <c:barChart>
        <c:barDir val="col"/>
        <c:grouping val="clustered"/>
        <c:varyColors val="0"/>
        <c:ser>
          <c:idx val="0"/>
          <c:order val="0"/>
          <c:tx>
            <c:v>Main</c:v>
          </c:tx>
          <c:spPr>
            <a:solidFill>
              <a:schemeClr val="accent1"/>
            </a:solidFill>
          </c:spPr>
          <c:invertIfNegative val="0"/>
          <c:dLbls>
            <c:spPr>
              <a:noFill/>
              <a:ln>
                <a:noFill/>
              </a:ln>
              <a:effectLst/>
            </c:spPr>
            <c:txPr>
              <a:bodyPr/>
              <a:lstStyle/>
              <a:p>
                <a:pPr>
                  <a:defRPr sz="1100">
                    <a:latin typeface="+mn-lt"/>
                    <a:cs typeface="Arial" panose="020B0604020202020204" pitchFamily="34" charset="0"/>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[0]!ChoiceOutputTable_Labels</c:f>
              <c:strCache>
                <c:ptCount val="4"/>
                <c:pt idx="0">
                  <c:v>1. Infrastructure/door
is
poor
or
damaged</c:v>
                </c:pt>
                <c:pt idx="1">
                  <c:v>2. Too
close
to
the
house</c:v>
                </c:pt>
                <c:pt idx="2">
                  <c:v>3. Lock
missing/not
working</c:v>
                </c:pt>
                <c:pt idx="3">
                  <c:v>4. Other</c:v>
                </c:pt>
              </c:strCache>
            </c:strRef>
          </c:cat>
          <c:val>
            <c:numRef>
              <c:f>[0]!ChoiceOutputTable_Values</c:f>
              <c:numCache>
                <c:formatCode>0%</c:formatCode>
                <c:ptCount val="4"/>
                <c:pt idx="0">
                  <c:v>0.68478260869565222</c:v>
                </c:pt>
                <c:pt idx="1">
                  <c:v>0.14673913043478262</c:v>
                </c:pt>
                <c:pt idx="2">
                  <c:v>0.11956521739130435</c:v>
                </c:pt>
                <c:pt idx="3">
                  <c:v>4.8913043478260872E-2</c:v>
                </c:pt>
              </c:numCache>
            </c:numRef>
          </c:val>
          <c:extLst>
            <c:ext xmlns:c16="http://schemas.microsoft.com/office/drawing/2014/chart" uri="{C3380CC4-5D6E-409C-BE32-E72D297353CC}">
              <c16:uniqueId val="{00000000-D59D-4175-A764-4E23BFC73DF3}"/>
            </c:ext>
          </c:extLst>
        </c:ser>
        <c:dLbls>
          <c:showLegendKey val="0"/>
          <c:showVal val="0"/>
          <c:showCatName val="0"/>
          <c:showSerName val="0"/>
          <c:showPercent val="0"/>
          <c:showBubbleSize val="0"/>
        </c:dLbls>
        <c:gapWidth val="75"/>
        <c:axId val="103988608"/>
        <c:axId val="103998592"/>
      </c:barChart>
      <c:catAx>
        <c:axId val="103988608"/>
        <c:scaling>
          <c:orientation val="minMax"/>
        </c:scaling>
        <c:delete val="0"/>
        <c:axPos val="b"/>
        <c:numFmt formatCode="General" sourceLinked="1"/>
        <c:majorTickMark val="out"/>
        <c:minorTickMark val="none"/>
        <c:tickLblPos val="nextTo"/>
        <c:txPr>
          <a:bodyPr rot="0" vert="horz"/>
          <a:lstStyle/>
          <a:p>
            <a:pPr>
              <a:defRPr sz="800">
                <a:latin typeface="+mn-lt"/>
                <a:cs typeface="Arial" panose="020B0604020202020204" pitchFamily="34" charset="0"/>
              </a:defRPr>
            </a:pPr>
            <a:endParaRPr lang="en-KE"/>
          </a:p>
        </c:txPr>
        <c:crossAx val="103998592"/>
        <c:crosses val="autoZero"/>
        <c:auto val="1"/>
        <c:lblAlgn val="ctr"/>
        <c:lblOffset val="100"/>
        <c:tickLblSkip val="1"/>
        <c:noMultiLvlLbl val="0"/>
      </c:catAx>
      <c:valAx>
        <c:axId val="103998592"/>
        <c:scaling>
          <c:orientation val="minMax"/>
          <c:max val="1"/>
        </c:scaling>
        <c:delete val="1"/>
        <c:axPos val="l"/>
        <c:majorGridlines>
          <c:spPr>
            <a:ln w="3175">
              <a:solidFill>
                <a:schemeClr val="bg1">
                  <a:lumMod val="75000"/>
                </a:schemeClr>
              </a:solidFill>
            </a:ln>
          </c:spPr>
        </c:majorGridlines>
        <c:numFmt formatCode="0%" sourceLinked="1"/>
        <c:majorTickMark val="out"/>
        <c:minorTickMark val="none"/>
        <c:tickLblPos val="nextTo"/>
        <c:crossAx val="103988608"/>
        <c:crosses val="autoZero"/>
        <c:crossBetween val="between"/>
        <c:majorUnit val="0.2"/>
      </c:valAx>
      <c:spPr>
        <a:noFill/>
      </c:spPr>
    </c:plotArea>
    <c:plotVisOnly val="0"/>
    <c:dispBlanksAs val="gap"/>
    <c:showDLblsOverMax val="0"/>
  </c:chart>
  <c:spPr>
    <a:ln>
      <a:noFill/>
    </a:ln>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9599930908259775"/>
          <c:y val="5.1802907429588756E-2"/>
          <c:w val="0.45897677924316627"/>
          <c:h val="0.86091529705918934"/>
        </c:manualLayout>
      </c:layout>
      <c:pieChart>
        <c:varyColors val="1"/>
        <c:ser>
          <c:idx val="0"/>
          <c:order val="0"/>
          <c:tx>
            <c:v>Main</c:v>
          </c:tx>
          <c:dPt>
            <c:idx val="0"/>
            <c:bubble3D val="0"/>
            <c:spPr>
              <a:solidFill>
                <a:schemeClr val="accent1"/>
              </a:solidFill>
              <a:ln>
                <a:noFill/>
              </a:ln>
              <a:effectLst/>
            </c:spPr>
            <c:extLst>
              <c:ext xmlns:c16="http://schemas.microsoft.com/office/drawing/2014/chart" uri="{C3380CC4-5D6E-409C-BE32-E72D297353CC}">
                <c16:uniqueId val="{00000001-5273-42DD-9D04-2CC230ED28F9}"/>
              </c:ext>
            </c:extLst>
          </c:dPt>
          <c:dPt>
            <c:idx val="1"/>
            <c:bubble3D val="0"/>
            <c:spPr>
              <a:solidFill>
                <a:schemeClr val="accent2"/>
              </a:solidFill>
              <a:ln>
                <a:noFill/>
              </a:ln>
              <a:effectLst/>
            </c:spPr>
            <c:extLst>
              <c:ext xmlns:c16="http://schemas.microsoft.com/office/drawing/2014/chart" uri="{C3380CC4-5D6E-409C-BE32-E72D297353CC}">
                <c16:uniqueId val="{00000003-5273-42DD-9D04-2CC230ED28F9}"/>
              </c:ext>
            </c:extLst>
          </c:dPt>
          <c:dPt>
            <c:idx val="2"/>
            <c:bubble3D val="0"/>
            <c:spPr>
              <a:solidFill>
                <a:schemeClr val="accent3"/>
              </a:solidFill>
              <a:ln>
                <a:noFill/>
              </a:ln>
              <a:effectLst/>
            </c:spPr>
            <c:extLst>
              <c:ext xmlns:c16="http://schemas.microsoft.com/office/drawing/2014/chart" uri="{C3380CC4-5D6E-409C-BE32-E72D297353CC}">
                <c16:uniqueId val="{00000005-5273-42DD-9D04-2CC230ED28F9}"/>
              </c:ext>
            </c:extLst>
          </c:dPt>
          <c:dPt>
            <c:idx val="3"/>
            <c:bubble3D val="0"/>
            <c:spPr>
              <a:solidFill>
                <a:schemeClr val="accent4"/>
              </a:solidFill>
              <a:ln>
                <a:noFill/>
              </a:ln>
              <a:effectLst/>
            </c:spPr>
            <c:extLst>
              <c:ext xmlns:c16="http://schemas.microsoft.com/office/drawing/2014/chart" uri="{C3380CC4-5D6E-409C-BE32-E72D297353CC}">
                <c16:uniqueId val="{00000007-5273-42DD-9D04-2CC230ED28F9}"/>
              </c:ext>
            </c:extLst>
          </c:dPt>
          <c:dLbls>
            <c:dLbl>
              <c:idx val="0"/>
              <c:layout>
                <c:manualLayout>
                  <c:x val="9.4172390870817496E-2"/>
                  <c:y val="-0.22236076475477973"/>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21367161533348109"/>
                      <c:h val="0.30266001662510389"/>
                    </c:manualLayout>
                  </c15:layout>
                </c:ext>
                <c:ext xmlns:c16="http://schemas.microsoft.com/office/drawing/2014/chart" uri="{C3380CC4-5D6E-409C-BE32-E72D297353CC}">
                  <c16:uniqueId val="{00000001-5273-42DD-9D04-2CC230ED28F9}"/>
                </c:ext>
              </c:extLst>
            </c:dLbl>
            <c:dLbl>
              <c:idx val="1"/>
              <c:layout>
                <c:manualLayout>
                  <c:x val="-6.8199130770076291E-2"/>
                  <c:y val="2.7015793848711556E-2"/>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27736530163953305"/>
                      <c:h val="0.59615560835444203"/>
                    </c:manualLayout>
                  </c15:layout>
                </c:ext>
                <c:ext xmlns:c16="http://schemas.microsoft.com/office/drawing/2014/chart" uri="{C3380CC4-5D6E-409C-BE32-E72D297353CC}">
                  <c16:uniqueId val="{00000003-5273-42DD-9D04-2CC230ED28F9}"/>
                </c:ext>
              </c:extLst>
            </c:dLbl>
            <c:dLbl>
              <c:idx val="2"/>
              <c:layout>
                <c:manualLayout>
                  <c:x val="-9.6128768858468397E-2"/>
                  <c:y val="2.0781379883624274E-2"/>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18627307637952303"/>
                      <c:h val="0.10475909962626243"/>
                    </c:manualLayout>
                  </c15:layout>
                </c:ext>
                <c:ext xmlns:c16="http://schemas.microsoft.com/office/drawing/2014/chart" uri="{C3380CC4-5D6E-409C-BE32-E72D297353CC}">
                  <c16:uniqueId val="{00000005-5273-42DD-9D04-2CC230ED28F9}"/>
                </c:ext>
              </c:extLst>
            </c:dLbl>
            <c:dLbl>
              <c:idx val="3"/>
              <c:layout>
                <c:manualLayout>
                  <c:x val="0.15074222821314556"/>
                  <c:y val="2.8825226583431944E-3"/>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15624852787485322"/>
                      <c:h val="0.11307165157971213"/>
                    </c:manualLayout>
                  </c15:layout>
                </c:ext>
                <c:ext xmlns:c16="http://schemas.microsoft.com/office/drawing/2014/chart" uri="{C3380CC4-5D6E-409C-BE32-E72D297353CC}">
                  <c16:uniqueId val="{00000007-5273-42DD-9D04-2CC230ED28F9}"/>
                </c:ext>
              </c:extLst>
            </c:dLbl>
            <c:spPr>
              <a:solidFill>
                <a:sysClr val="window" lastClr="FFFFFF"/>
              </a:solidFill>
              <a:ln>
                <a:solidFill>
                  <a:sysClr val="windowText" lastClr="000000">
                    <a:lumMod val="65000"/>
                    <a:lumOff val="35000"/>
                  </a:sysClr>
                </a:solidFill>
              </a:ln>
              <a:effectLst/>
            </c:spPr>
            <c:txPr>
              <a:bodyPr rot="0" spcFirstLastPara="1" vertOverflow="ellipsis" vert="horz" wrap="square" anchor="ctr" anchorCtr="1"/>
              <a:lstStyle/>
              <a:p>
                <a:pPr>
                  <a:defRPr sz="1100" b="0" i="0" u="none" strike="noStrike" kern="1200" baseline="0">
                    <a:solidFill>
                      <a:schemeClr val="dk1"/>
                    </a:solidFill>
                    <a:latin typeface="+mn-lt"/>
                    <a:ea typeface="+mn-ea"/>
                    <a:cs typeface="+mn-cs"/>
                  </a:defRPr>
                </a:pPr>
                <a:endParaRPr lang="en-KE"/>
              </a:p>
            </c:txPr>
            <c:dLblPos val="out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oundRectCallout">
                    <a:avLst/>
                  </a:prstGeom>
                </c15:spPr>
              </c:ext>
            </c:extLst>
          </c:dLbls>
          <c:cat>
            <c:strRef>
              <c:f>[0]!UniqueOutputTable_Labels</c:f>
              <c:strCache>
                <c:ptCount val="4"/>
                <c:pt idx="0">
                  <c:v>1. Distributed
by
a
NGO</c:v>
                </c:pt>
                <c:pt idx="1">
                  <c:v>2. Purchased
(e.g.
from
a
market
or
shop)</c:v>
                </c:pt>
                <c:pt idx="2">
                  <c:v>3. Gifted</c:v>
                </c:pt>
                <c:pt idx="3">
                  <c:v>4. Other</c:v>
                </c:pt>
              </c:strCache>
            </c:strRef>
          </c:cat>
          <c:val>
            <c:numRef>
              <c:f>[0]!UniqueOutputTable_Values</c:f>
              <c:numCache>
                <c:formatCode>0%</c:formatCode>
                <c:ptCount val="4"/>
                <c:pt idx="0">
                  <c:v>0.7435265104808878</c:v>
                </c:pt>
                <c:pt idx="1">
                  <c:v>0.25030826140567203</c:v>
                </c:pt>
                <c:pt idx="2">
                  <c:v>4.9321824907521579E-3</c:v>
                </c:pt>
                <c:pt idx="3">
                  <c:v>1.2330456226880395E-3</c:v>
                </c:pt>
              </c:numCache>
            </c:numRef>
          </c:val>
          <c:extLst>
            <c:ext xmlns:c16="http://schemas.microsoft.com/office/drawing/2014/chart" uri="{C3380CC4-5D6E-409C-BE32-E72D297353CC}">
              <c16:uniqueId val="{00000008-5273-42DD-9D04-2CC230ED28F9}"/>
            </c:ext>
          </c:extLst>
        </c:ser>
        <c:dLbls>
          <c:showLegendKey val="0"/>
          <c:showVal val="1"/>
          <c:showCatName val="0"/>
          <c:showSerName val="0"/>
          <c:showPercent val="0"/>
          <c:showBubbleSize val="0"/>
          <c:showLeaderLines val="0"/>
        </c:dLbls>
        <c:firstSliceAng val="0"/>
      </c:pieChart>
      <c:spPr>
        <a:noFill/>
        <a:ln>
          <a:noFill/>
        </a:ln>
        <a:effectLst/>
      </c:spPr>
    </c:plotArea>
    <c:plotVisOnly val="0"/>
    <c:dispBlanksAs val="zero"/>
    <c:showDLblsOverMax val="0"/>
  </c:chart>
  <c:spPr>
    <a:solidFill>
      <a:schemeClr val="bg1"/>
    </a:solidFill>
    <a:ln w="6350" cap="flat" cmpd="sng" algn="ctr">
      <a:noFill/>
      <a:prstDash val="solid"/>
      <a:round/>
    </a:ln>
    <a:effectLst/>
  </c:spPr>
  <c:txPr>
    <a:bodyPr/>
    <a:lstStyle/>
    <a:p>
      <a:pPr>
        <a:defRPr/>
      </a:pPr>
      <a:endParaRPr lang="en-KE"/>
    </a:p>
  </c:txPr>
  <c:externalData r:id="rId2">
    <c:autoUpdate val="0"/>
  </c:externalData>
  <c:userShapes r:id="rId3"/>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
          <c:y val="0"/>
          <c:w val="1"/>
          <c:h val="0.69879038794163806"/>
        </c:manualLayout>
      </c:layout>
      <c:barChart>
        <c:barDir val="col"/>
        <c:grouping val="clustered"/>
        <c:varyColors val="0"/>
        <c:ser>
          <c:idx val="0"/>
          <c:order val="0"/>
          <c:tx>
            <c:v>Main</c:v>
          </c:tx>
          <c:spPr>
            <a:solidFill>
              <a:schemeClr val="accent1"/>
            </a:solidFill>
          </c:spPr>
          <c:invertIfNegative val="0"/>
          <c:dLbls>
            <c:spPr>
              <a:noFill/>
              <a:ln>
                <a:noFill/>
              </a:ln>
              <a:effectLst/>
            </c:spPr>
            <c:txPr>
              <a:bodyPr/>
              <a:lstStyle/>
              <a:p>
                <a:pPr>
                  <a:defRPr sz="1100">
                    <a:latin typeface="+mn-lt"/>
                    <a:cs typeface="Arial" panose="020B0604020202020204" pitchFamily="34" charset="0"/>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[0]!ChoiceOutputTable_Labels</c:f>
              <c:strCache>
                <c:ptCount val="6"/>
                <c:pt idx="0">
                  <c:v>1. Water
only</c:v>
                </c:pt>
                <c:pt idx="1">
                  <c:v>2. Ash</c:v>
                </c:pt>
                <c:pt idx="2">
                  <c:v>3. Sand</c:v>
                </c:pt>
                <c:pt idx="3">
                  <c:v>4. Do
not
use
anything</c:v>
                </c:pt>
                <c:pt idx="4">
                  <c:v>5. Other</c:v>
                </c:pt>
                <c:pt idx="5">
                  <c:v>6. Don't
know</c:v>
                </c:pt>
              </c:strCache>
            </c:strRef>
          </c:cat>
          <c:val>
            <c:numRef>
              <c:f>[0]!ChoiceOutputTable_Values</c:f>
              <c:numCache>
                <c:formatCode>0%</c:formatCode>
                <c:ptCount val="6"/>
                <c:pt idx="0">
                  <c:v>0.64933741080530072</c:v>
                </c:pt>
                <c:pt idx="1">
                  <c:v>0.26197757390417942</c:v>
                </c:pt>
                <c:pt idx="2">
                  <c:v>7.0336391437308868E-2</c:v>
                </c:pt>
                <c:pt idx="3">
                  <c:v>1.5290519877675841E-2</c:v>
                </c:pt>
                <c:pt idx="4">
                  <c:v>3.0581039755351682E-3</c:v>
                </c:pt>
                <c:pt idx="5">
                  <c:v>0</c:v>
                </c:pt>
              </c:numCache>
            </c:numRef>
          </c:val>
          <c:extLst>
            <c:ext xmlns:c16="http://schemas.microsoft.com/office/drawing/2014/chart" uri="{C3380CC4-5D6E-409C-BE32-E72D297353CC}">
              <c16:uniqueId val="{00000000-5E31-4C0A-BF90-8321788DA2E8}"/>
            </c:ext>
          </c:extLst>
        </c:ser>
        <c:dLbls>
          <c:showLegendKey val="0"/>
          <c:showVal val="0"/>
          <c:showCatName val="0"/>
          <c:showSerName val="0"/>
          <c:showPercent val="0"/>
          <c:showBubbleSize val="0"/>
        </c:dLbls>
        <c:gapWidth val="75"/>
        <c:axId val="104059264"/>
        <c:axId val="104060800"/>
      </c:barChart>
      <c:catAx>
        <c:axId val="104059264"/>
        <c:scaling>
          <c:orientation val="minMax"/>
        </c:scaling>
        <c:delete val="0"/>
        <c:axPos val="b"/>
        <c:numFmt formatCode="General" sourceLinked="1"/>
        <c:majorTickMark val="out"/>
        <c:minorTickMark val="none"/>
        <c:tickLblPos val="nextTo"/>
        <c:txPr>
          <a:bodyPr rot="0" vert="horz"/>
          <a:lstStyle/>
          <a:p>
            <a:pPr>
              <a:defRPr sz="800">
                <a:latin typeface="+mn-lt"/>
                <a:cs typeface="Arial" panose="020B0604020202020204" pitchFamily="34" charset="0"/>
              </a:defRPr>
            </a:pPr>
            <a:endParaRPr lang="en-KE"/>
          </a:p>
        </c:txPr>
        <c:crossAx val="104060800"/>
        <c:crosses val="autoZero"/>
        <c:auto val="1"/>
        <c:lblAlgn val="ctr"/>
        <c:lblOffset val="100"/>
        <c:tickLblSkip val="1"/>
        <c:noMultiLvlLbl val="0"/>
      </c:catAx>
      <c:valAx>
        <c:axId val="104060800"/>
        <c:scaling>
          <c:orientation val="minMax"/>
          <c:max val="1"/>
        </c:scaling>
        <c:delete val="1"/>
        <c:axPos val="l"/>
        <c:majorGridlines>
          <c:spPr>
            <a:ln w="3175">
              <a:solidFill>
                <a:schemeClr val="bg1">
                  <a:lumMod val="75000"/>
                </a:schemeClr>
              </a:solidFill>
            </a:ln>
          </c:spPr>
        </c:majorGridlines>
        <c:numFmt formatCode="0%" sourceLinked="1"/>
        <c:majorTickMark val="out"/>
        <c:minorTickMark val="none"/>
        <c:tickLblPos val="nextTo"/>
        <c:crossAx val="104059264"/>
        <c:crosses val="autoZero"/>
        <c:crossBetween val="between"/>
        <c:majorUnit val="0.2"/>
      </c:valAx>
      <c:spPr>
        <a:noFill/>
      </c:spPr>
    </c:plotArea>
    <c:plotVisOnly val="0"/>
    <c:dispBlanksAs val="gap"/>
    <c:showDLblsOverMax val="0"/>
  </c:chart>
  <c:spPr>
    <a:ln>
      <a:noFill/>
    </a:ln>
  </c:sp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
          <c:y val="0"/>
          <c:w val="1"/>
          <c:h val="0.78261565988461967"/>
        </c:manualLayout>
      </c:layout>
      <c:barChart>
        <c:barDir val="col"/>
        <c:grouping val="clustered"/>
        <c:varyColors val="0"/>
        <c:ser>
          <c:idx val="0"/>
          <c:order val="0"/>
          <c:tx>
            <c:v>Main</c:v>
          </c:tx>
          <c:spPr>
            <a:solidFill>
              <a:schemeClr val="accent1"/>
            </a:solidFill>
          </c:spPr>
          <c:invertIfNegative val="0"/>
          <c:dLbls>
            <c:spPr>
              <a:noFill/>
              <a:ln>
                <a:noFill/>
              </a:ln>
              <a:effectLst/>
            </c:spPr>
            <c:txPr>
              <a:bodyPr/>
              <a:lstStyle/>
              <a:p>
                <a:pPr>
                  <a:defRPr sz="1100">
                    <a:latin typeface="+mn-lt"/>
                    <a:cs typeface="Arial" panose="020B0604020202020204" pitchFamily="34" charset="0"/>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[0]!ChoiceOutputTable_Labels</c:f>
              <c:strCache>
                <c:ptCount val="4"/>
                <c:pt idx="0">
                  <c:v>1. Pouring
device
(e.g.
tipi
tap)</c:v>
                </c:pt>
                <c:pt idx="1">
                  <c:v>2. Basin
or
bucket</c:v>
                </c:pt>
                <c:pt idx="2">
                  <c:v>3. Other</c:v>
                </c:pt>
                <c:pt idx="3">
                  <c:v>4. Bouta</c:v>
                </c:pt>
              </c:strCache>
            </c:strRef>
          </c:cat>
          <c:val>
            <c:numRef>
              <c:f>[0]!ChoiceOutputTable_Values</c:f>
              <c:numCache>
                <c:formatCode>0%</c:formatCode>
                <c:ptCount val="4"/>
                <c:pt idx="0">
                  <c:v>0.72527472527472525</c:v>
                </c:pt>
                <c:pt idx="1">
                  <c:v>0.27106227106227104</c:v>
                </c:pt>
                <c:pt idx="2">
                  <c:v>3.663003663003663E-3</c:v>
                </c:pt>
                <c:pt idx="3">
                  <c:v>0</c:v>
                </c:pt>
              </c:numCache>
            </c:numRef>
          </c:val>
          <c:extLst>
            <c:ext xmlns:c16="http://schemas.microsoft.com/office/drawing/2014/chart" uri="{C3380CC4-5D6E-409C-BE32-E72D297353CC}">
              <c16:uniqueId val="{00000000-8A9A-481C-ABAD-B7542C13FAA1}"/>
            </c:ext>
          </c:extLst>
        </c:ser>
        <c:dLbls>
          <c:showLegendKey val="0"/>
          <c:showVal val="0"/>
          <c:showCatName val="0"/>
          <c:showSerName val="0"/>
          <c:showPercent val="0"/>
          <c:showBubbleSize val="0"/>
        </c:dLbls>
        <c:gapWidth val="75"/>
        <c:axId val="104101760"/>
        <c:axId val="104103296"/>
      </c:barChart>
      <c:catAx>
        <c:axId val="104101760"/>
        <c:scaling>
          <c:orientation val="minMax"/>
        </c:scaling>
        <c:delete val="0"/>
        <c:axPos val="b"/>
        <c:numFmt formatCode="General" sourceLinked="1"/>
        <c:majorTickMark val="out"/>
        <c:minorTickMark val="none"/>
        <c:tickLblPos val="nextTo"/>
        <c:txPr>
          <a:bodyPr rot="0" vert="horz"/>
          <a:lstStyle/>
          <a:p>
            <a:pPr>
              <a:defRPr sz="800">
                <a:latin typeface="+mn-lt"/>
                <a:cs typeface="Arial" panose="020B0604020202020204" pitchFamily="34" charset="0"/>
              </a:defRPr>
            </a:pPr>
            <a:endParaRPr lang="en-KE"/>
          </a:p>
        </c:txPr>
        <c:crossAx val="104103296"/>
        <c:crosses val="autoZero"/>
        <c:auto val="1"/>
        <c:lblAlgn val="ctr"/>
        <c:lblOffset val="100"/>
        <c:tickLblSkip val="1"/>
        <c:noMultiLvlLbl val="0"/>
      </c:catAx>
      <c:valAx>
        <c:axId val="104103296"/>
        <c:scaling>
          <c:orientation val="minMax"/>
          <c:max val="1"/>
        </c:scaling>
        <c:delete val="1"/>
        <c:axPos val="l"/>
        <c:majorGridlines>
          <c:spPr>
            <a:ln w="3175">
              <a:solidFill>
                <a:schemeClr val="bg1">
                  <a:lumMod val="75000"/>
                </a:schemeClr>
              </a:solidFill>
            </a:ln>
          </c:spPr>
        </c:majorGridlines>
        <c:numFmt formatCode="0%" sourceLinked="1"/>
        <c:majorTickMark val="out"/>
        <c:minorTickMark val="none"/>
        <c:tickLblPos val="nextTo"/>
        <c:crossAx val="104101760"/>
        <c:crosses val="autoZero"/>
        <c:crossBetween val="between"/>
        <c:majorUnit val="0.2"/>
      </c:valAx>
      <c:spPr>
        <a:noFill/>
      </c:spPr>
    </c:plotArea>
    <c:plotVisOnly val="0"/>
    <c:dispBlanksAs val="gap"/>
    <c:showDLblsOverMax val="0"/>
  </c:chart>
  <c:spPr>
    <a:ln>
      <a:noFill/>
    </a:ln>
  </c:sp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1925216914914217"/>
          <c:y val="0.18064746270805926"/>
          <c:w val="0.40360777526341224"/>
          <c:h val="0.7570581420464586"/>
        </c:manualLayout>
      </c:layout>
      <c:pieChart>
        <c:varyColors val="1"/>
        <c:ser>
          <c:idx val="0"/>
          <c:order val="0"/>
          <c:tx>
            <c:v>Main</c:v>
          </c:tx>
          <c:dPt>
            <c:idx val="0"/>
            <c:bubble3D val="0"/>
            <c:spPr>
              <a:solidFill>
                <a:schemeClr val="accent6"/>
              </a:solidFill>
              <a:ln>
                <a:noFill/>
              </a:ln>
              <a:effectLst/>
            </c:spPr>
            <c:extLst>
              <c:ext xmlns:c16="http://schemas.microsoft.com/office/drawing/2014/chart" uri="{C3380CC4-5D6E-409C-BE32-E72D297353CC}">
                <c16:uniqueId val="{00000001-DA1C-4011-85CD-21FC1663B93C}"/>
              </c:ext>
            </c:extLst>
          </c:dPt>
          <c:dPt>
            <c:idx val="1"/>
            <c:bubble3D val="0"/>
            <c:spPr>
              <a:solidFill>
                <a:schemeClr val="accent5"/>
              </a:solidFill>
              <a:ln>
                <a:noFill/>
              </a:ln>
              <a:effectLst/>
            </c:spPr>
            <c:extLst>
              <c:ext xmlns:c16="http://schemas.microsoft.com/office/drawing/2014/chart" uri="{C3380CC4-5D6E-409C-BE32-E72D297353CC}">
                <c16:uniqueId val="{00000003-DA1C-4011-85CD-21FC1663B93C}"/>
              </c:ext>
            </c:extLst>
          </c:dPt>
          <c:dPt>
            <c:idx val="2"/>
            <c:bubble3D val="0"/>
            <c:spPr>
              <a:solidFill>
                <a:schemeClr val="accent4"/>
              </a:solidFill>
              <a:ln>
                <a:noFill/>
              </a:ln>
              <a:effectLst/>
            </c:spPr>
            <c:extLst>
              <c:ext xmlns:c16="http://schemas.microsoft.com/office/drawing/2014/chart" uri="{C3380CC4-5D6E-409C-BE32-E72D297353CC}">
                <c16:uniqueId val="{00000005-DA1C-4011-85CD-21FC1663B93C}"/>
              </c:ext>
            </c:extLst>
          </c:dPt>
          <c:dLbls>
            <c:dLbl>
              <c:idx val="1"/>
              <c:layout>
                <c:manualLayout>
                  <c:x val="-6.4258807888322625E-2"/>
                  <c:y val="5.818786367414792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A1C-4011-85CD-21FC1663B93C}"/>
                </c:ext>
              </c:extLst>
            </c:dLbl>
            <c:dLbl>
              <c:idx val="2"/>
              <c:layout>
                <c:manualLayout>
                  <c:x val="-0.12408597385331266"/>
                  <c:y val="2.0693999908365568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A1C-4011-85CD-21FC1663B93C}"/>
                </c:ext>
              </c:extLst>
            </c:dLbl>
            <c:spPr>
              <a:solidFill>
                <a:sysClr val="window" lastClr="FFFFFF"/>
              </a:solidFill>
              <a:ln>
                <a:solidFill>
                  <a:sysClr val="windowText" lastClr="000000">
                    <a:lumMod val="65000"/>
                    <a:lumOff val="35000"/>
                  </a:sysClr>
                </a:solidFill>
              </a:ln>
              <a:effectLst/>
            </c:spPr>
            <c:txPr>
              <a:bodyPr rot="0" spcFirstLastPara="1" vertOverflow="ellipsis" vert="horz" wrap="square" anchor="ctr" anchorCtr="1"/>
              <a:lstStyle/>
              <a:p>
                <a:pPr>
                  <a:defRPr sz="1100" b="0" i="0" u="none" strike="noStrike" kern="1200" baseline="0">
                    <a:solidFill>
                      <a:schemeClr val="dk1"/>
                    </a:solidFill>
                    <a:latin typeface="+mn-lt"/>
                    <a:ea typeface="+mn-ea"/>
                    <a:cs typeface="+mn-cs"/>
                  </a:defRPr>
                </a:pPr>
                <a:endParaRPr lang="en-KE"/>
              </a:p>
            </c:txPr>
            <c:dLblPos val="out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[0]!UniqueOutputTable_Labels</c:f>
              <c:strCache>
                <c:ptCount val="3"/>
                <c:pt idx="0">
                  <c:v>1. Yes</c:v>
                </c:pt>
                <c:pt idx="1">
                  <c:v>2. No</c:v>
                </c:pt>
                <c:pt idx="2">
                  <c:v>3. Unable
to
observe</c:v>
                </c:pt>
              </c:strCache>
            </c:strRef>
          </c:cat>
          <c:val>
            <c:numRef>
              <c:f>[0]!UniqueOutputTable_Values</c:f>
              <c:numCache>
                <c:formatCode>0%</c:formatCode>
                <c:ptCount val="3"/>
                <c:pt idx="0">
                  <c:v>0.79001019367991843</c:v>
                </c:pt>
                <c:pt idx="1">
                  <c:v>0.16819571865443425</c:v>
                </c:pt>
                <c:pt idx="2">
                  <c:v>4.1794087665647302E-2</c:v>
                </c:pt>
              </c:numCache>
            </c:numRef>
          </c:val>
          <c:extLst>
            <c:ext xmlns:c16="http://schemas.microsoft.com/office/drawing/2014/chart" uri="{C3380CC4-5D6E-409C-BE32-E72D297353CC}">
              <c16:uniqueId val="{00000006-DA1C-4011-85CD-21FC1663B93C}"/>
            </c:ext>
          </c:extLst>
        </c:ser>
        <c:dLbls>
          <c:showLegendKey val="0"/>
          <c:showVal val="1"/>
          <c:showCatName val="0"/>
          <c:showSerName val="0"/>
          <c:showPercent val="0"/>
          <c:showBubbleSize val="0"/>
          <c:showLeaderLines val="0"/>
        </c:dLbls>
        <c:firstSliceAng val="0"/>
      </c:pieChart>
      <c:spPr>
        <a:noFill/>
        <a:ln>
          <a:noFill/>
        </a:ln>
        <a:effectLst/>
      </c:spPr>
    </c:plotArea>
    <c:plotVisOnly val="0"/>
    <c:dispBlanksAs val="zero"/>
    <c:showDLblsOverMax val="0"/>
  </c:chart>
  <c:spPr>
    <a:solidFill>
      <a:schemeClr val="bg1"/>
    </a:solidFill>
    <a:ln w="6350" cap="flat" cmpd="sng" algn="ctr">
      <a:noFill/>
      <a:prstDash val="solid"/>
      <a:round/>
    </a:ln>
    <a:effectLst/>
  </c:spPr>
  <c:txPr>
    <a:bodyPr/>
    <a:lstStyle/>
    <a:p>
      <a:pPr>
        <a:defRPr/>
      </a:pPr>
      <a:endParaRPr lang="en-KE"/>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6314147580655014E-3"/>
          <c:y val="0"/>
          <c:w val="0.9953685852419345"/>
          <c:h val="0.611354172833659"/>
        </c:manualLayout>
      </c:layout>
      <c:barChart>
        <c:barDir val="col"/>
        <c:grouping val="clustered"/>
        <c:varyColors val="0"/>
        <c:ser>
          <c:idx val="0"/>
          <c:order val="0"/>
          <c:tx>
            <c:v>Main</c:v>
          </c:tx>
          <c:spPr>
            <a:solidFill>
              <a:schemeClr val="accent1"/>
            </a:solidFill>
          </c:spPr>
          <c:invertIfNegative val="0"/>
          <c:dLbls>
            <c:spPr>
              <a:noFill/>
              <a:ln>
                <a:noFill/>
              </a:ln>
              <a:effectLst/>
            </c:spPr>
            <c:txPr>
              <a:bodyPr/>
              <a:lstStyle/>
              <a:p>
                <a:pPr>
                  <a:defRPr sz="1100">
                    <a:latin typeface="+mn-lt"/>
                    <a:cs typeface="Arial" panose="020B0604020202020204" pitchFamily="34" charset="0"/>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[0]!ChoiceOutputTable_Labels</c:f>
              <c:strCache>
                <c:ptCount val="8"/>
                <c:pt idx="0">
                  <c:v>1. Household
pit</c:v>
                </c:pt>
                <c:pt idx="1">
                  <c:v>2. Communal
pit</c:v>
                </c:pt>
                <c:pt idx="2">
                  <c:v>3. Undesignated
open
area</c:v>
                </c:pt>
                <c:pt idx="3">
                  <c:v>4. Street
bin/container
for
garbage
collection</c:v>
                </c:pt>
                <c:pt idx="4">
                  <c:v>5. Designated
open
area</c:v>
                </c:pt>
                <c:pt idx="5">
                  <c:v>6. Burn
it</c:v>
                </c:pt>
                <c:pt idx="6">
                  <c:v>7. Bury
it</c:v>
                </c:pt>
                <c:pt idx="7">
                  <c:v>8. Other</c:v>
                </c:pt>
              </c:strCache>
            </c:strRef>
          </c:cat>
          <c:val>
            <c:numRef>
              <c:f>[0]!ChoiceOutputTable_Values</c:f>
              <c:numCache>
                <c:formatCode>0%</c:formatCode>
                <c:ptCount val="8"/>
                <c:pt idx="0">
                  <c:v>0.4751552795031056</c:v>
                </c:pt>
                <c:pt idx="1">
                  <c:v>0.24223602484472051</c:v>
                </c:pt>
                <c:pt idx="2">
                  <c:v>0.10041407867494824</c:v>
                </c:pt>
                <c:pt idx="3">
                  <c:v>6.9358178053830224E-2</c:v>
                </c:pt>
                <c:pt idx="4">
                  <c:v>6.6252587991718431E-2</c:v>
                </c:pt>
                <c:pt idx="5">
                  <c:v>3.5196687370600416E-2</c:v>
                </c:pt>
                <c:pt idx="6">
                  <c:v>1.1387163561076604E-2</c:v>
                </c:pt>
                <c:pt idx="7">
                  <c:v>0</c:v>
                </c:pt>
              </c:numCache>
            </c:numRef>
          </c:val>
          <c:extLst>
            <c:ext xmlns:c16="http://schemas.microsoft.com/office/drawing/2014/chart" uri="{C3380CC4-5D6E-409C-BE32-E72D297353CC}">
              <c16:uniqueId val="{00000000-933E-4685-A742-269B41B524A3}"/>
            </c:ext>
          </c:extLst>
        </c:ser>
        <c:dLbls>
          <c:showLegendKey val="0"/>
          <c:showVal val="0"/>
          <c:showCatName val="0"/>
          <c:showSerName val="0"/>
          <c:showPercent val="0"/>
          <c:showBubbleSize val="0"/>
        </c:dLbls>
        <c:gapWidth val="75"/>
        <c:axId val="104170240"/>
        <c:axId val="104171776"/>
      </c:barChart>
      <c:catAx>
        <c:axId val="104170240"/>
        <c:scaling>
          <c:orientation val="minMax"/>
        </c:scaling>
        <c:delete val="0"/>
        <c:axPos val="b"/>
        <c:numFmt formatCode="General" sourceLinked="1"/>
        <c:majorTickMark val="out"/>
        <c:minorTickMark val="none"/>
        <c:tickLblPos val="nextTo"/>
        <c:txPr>
          <a:bodyPr rot="0" vert="horz"/>
          <a:lstStyle/>
          <a:p>
            <a:pPr>
              <a:defRPr sz="800">
                <a:solidFill>
                  <a:sysClr val="windowText" lastClr="000000"/>
                </a:solidFill>
                <a:latin typeface="+mn-lt"/>
                <a:cs typeface="Arial" panose="020B0604020202020204" pitchFamily="34" charset="0"/>
              </a:defRPr>
            </a:pPr>
            <a:endParaRPr lang="en-KE"/>
          </a:p>
        </c:txPr>
        <c:crossAx val="104171776"/>
        <c:crosses val="autoZero"/>
        <c:auto val="1"/>
        <c:lblAlgn val="ctr"/>
        <c:lblOffset val="100"/>
        <c:tickLblSkip val="1"/>
        <c:noMultiLvlLbl val="0"/>
      </c:catAx>
      <c:valAx>
        <c:axId val="104171776"/>
        <c:scaling>
          <c:orientation val="minMax"/>
          <c:max val="1"/>
        </c:scaling>
        <c:delete val="1"/>
        <c:axPos val="l"/>
        <c:majorGridlines>
          <c:spPr>
            <a:ln w="3175">
              <a:solidFill>
                <a:schemeClr val="bg1">
                  <a:lumMod val="75000"/>
                </a:schemeClr>
              </a:solidFill>
            </a:ln>
          </c:spPr>
        </c:majorGridlines>
        <c:numFmt formatCode="0%" sourceLinked="1"/>
        <c:majorTickMark val="out"/>
        <c:minorTickMark val="none"/>
        <c:tickLblPos val="nextTo"/>
        <c:crossAx val="104170240"/>
        <c:crosses val="autoZero"/>
        <c:crossBetween val="between"/>
        <c:majorUnit val="0.2"/>
      </c:valAx>
      <c:spPr>
        <a:noFill/>
      </c:spPr>
    </c:plotArea>
    <c:plotVisOnly val="0"/>
    <c:dispBlanksAs val="gap"/>
    <c:showDLblsOverMax val="0"/>
  </c:chart>
  <c:spPr>
    <a:ln>
      <a:noFill/>
    </a:ln>
  </c:sp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2118970393491418E-2"/>
          <c:y val="0"/>
          <c:w val="0.98788102960650859"/>
          <c:h val="0.79566633118228647"/>
        </c:manualLayout>
      </c:layout>
      <c:barChart>
        <c:barDir val="col"/>
        <c:grouping val="clustered"/>
        <c:varyColors val="0"/>
        <c:ser>
          <c:idx val="0"/>
          <c:order val="0"/>
          <c:tx>
            <c:v>Main</c:v>
          </c:tx>
          <c:spPr>
            <a:solidFill>
              <a:schemeClr val="accent1"/>
            </a:solidFill>
          </c:spPr>
          <c:invertIfNegative val="0"/>
          <c:dLbls>
            <c:spPr>
              <a:noFill/>
              <a:ln>
                <a:noFill/>
              </a:ln>
              <a:effectLst/>
            </c:spPr>
            <c:txPr>
              <a:bodyPr/>
              <a:lstStyle/>
              <a:p>
                <a:pPr>
                  <a:defRPr sz="1100">
                    <a:latin typeface="+mn-lt"/>
                    <a:cs typeface="Arial" panose="020B0604020202020204" pitchFamily="34" charset="0"/>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[0]!ChoiceOutputTable_Labels</c:f>
              <c:strCache>
                <c:ptCount val="9"/>
                <c:pt idx="0">
                  <c:v>1. Disposable
pad</c:v>
                </c:pt>
                <c:pt idx="1">
                  <c:v>2. Cotton</c:v>
                </c:pt>
                <c:pt idx="2">
                  <c:v>3. Menstrual
cup</c:v>
                </c:pt>
                <c:pt idx="3">
                  <c:v>4. Reusable
cloth</c:v>
                </c:pt>
                <c:pt idx="4">
                  <c:v>5. Reusable
pad</c:v>
                </c:pt>
                <c:pt idx="5">
                  <c:v>6. Layers
of
underwear</c:v>
                </c:pt>
                <c:pt idx="6">
                  <c:v>7. Nothing/bleed
into
clothes</c:v>
                </c:pt>
                <c:pt idx="7">
                  <c:v>8. Tampon</c:v>
                </c:pt>
                <c:pt idx="8">
                  <c:v>9. Other</c:v>
                </c:pt>
              </c:strCache>
            </c:strRef>
          </c:cat>
          <c:val>
            <c:numRef>
              <c:f>[0]!ChoiceOutputTable_Values</c:f>
              <c:numCache>
                <c:formatCode>0%</c:formatCode>
                <c:ptCount val="9"/>
                <c:pt idx="0">
                  <c:v>0.83582089552238803</c:v>
                </c:pt>
                <c:pt idx="1">
                  <c:v>5.3304904051172705E-2</c:v>
                </c:pt>
                <c:pt idx="2">
                  <c:v>5.1172707889125799E-2</c:v>
                </c:pt>
                <c:pt idx="3">
                  <c:v>3.8379530916844352E-2</c:v>
                </c:pt>
                <c:pt idx="4">
                  <c:v>1.9189765458422176E-2</c:v>
                </c:pt>
                <c:pt idx="5">
                  <c:v>1.7057569296375266E-2</c:v>
                </c:pt>
                <c:pt idx="6">
                  <c:v>1.279317697228145E-2</c:v>
                </c:pt>
                <c:pt idx="7">
                  <c:v>2.1321961620469083E-3</c:v>
                </c:pt>
                <c:pt idx="8">
                  <c:v>2.1321961620469083E-3</c:v>
                </c:pt>
              </c:numCache>
            </c:numRef>
          </c:val>
          <c:extLst>
            <c:ext xmlns:c16="http://schemas.microsoft.com/office/drawing/2014/chart" uri="{C3380CC4-5D6E-409C-BE32-E72D297353CC}">
              <c16:uniqueId val="{00000000-3654-4580-99F4-9B181B6EDBAA}"/>
            </c:ext>
          </c:extLst>
        </c:ser>
        <c:dLbls>
          <c:showLegendKey val="0"/>
          <c:showVal val="0"/>
          <c:showCatName val="0"/>
          <c:showSerName val="0"/>
          <c:showPercent val="0"/>
          <c:showBubbleSize val="0"/>
        </c:dLbls>
        <c:gapWidth val="75"/>
        <c:axId val="104188160"/>
        <c:axId val="103415808"/>
      </c:barChart>
      <c:catAx>
        <c:axId val="104188160"/>
        <c:scaling>
          <c:orientation val="minMax"/>
        </c:scaling>
        <c:delete val="0"/>
        <c:axPos val="b"/>
        <c:numFmt formatCode="General" sourceLinked="1"/>
        <c:majorTickMark val="out"/>
        <c:minorTickMark val="none"/>
        <c:tickLblPos val="nextTo"/>
        <c:txPr>
          <a:bodyPr rot="0" vert="horz"/>
          <a:lstStyle/>
          <a:p>
            <a:pPr>
              <a:defRPr sz="800">
                <a:solidFill>
                  <a:sysClr val="windowText" lastClr="000000"/>
                </a:solidFill>
                <a:latin typeface="+mn-lt"/>
                <a:cs typeface="Arial" panose="020B0604020202020204" pitchFamily="34" charset="0"/>
              </a:defRPr>
            </a:pPr>
            <a:endParaRPr lang="en-KE"/>
          </a:p>
        </c:txPr>
        <c:crossAx val="103415808"/>
        <c:crosses val="autoZero"/>
        <c:auto val="1"/>
        <c:lblAlgn val="ctr"/>
        <c:lblOffset val="100"/>
        <c:tickLblSkip val="1"/>
        <c:noMultiLvlLbl val="0"/>
      </c:catAx>
      <c:valAx>
        <c:axId val="103415808"/>
        <c:scaling>
          <c:orientation val="minMax"/>
          <c:max val="1"/>
        </c:scaling>
        <c:delete val="1"/>
        <c:axPos val="l"/>
        <c:majorGridlines>
          <c:spPr>
            <a:ln w="3175">
              <a:solidFill>
                <a:schemeClr val="bg1">
                  <a:lumMod val="75000"/>
                </a:schemeClr>
              </a:solidFill>
            </a:ln>
          </c:spPr>
        </c:majorGridlines>
        <c:numFmt formatCode="0%" sourceLinked="1"/>
        <c:majorTickMark val="out"/>
        <c:minorTickMark val="none"/>
        <c:tickLblPos val="nextTo"/>
        <c:crossAx val="104188160"/>
        <c:crosses val="autoZero"/>
        <c:crossBetween val="between"/>
        <c:majorUnit val="0.2"/>
      </c:valAx>
      <c:spPr>
        <a:noFill/>
      </c:spPr>
    </c:plotArea>
    <c:plotVisOnly val="0"/>
    <c:dispBlanksAs val="gap"/>
    <c:showDLblsOverMax val="0"/>
  </c:chart>
  <c:spPr>
    <a:ln>
      <a:noFill/>
    </a:ln>
  </c:sp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0.02376</cdr:x>
      <cdr:y>0.11108</cdr:y>
    </cdr:from>
    <cdr:to>
      <cdr:x>0.31725</cdr:x>
      <cdr:y>0.16929</cdr:y>
    </cdr:to>
    <cdr:sp macro="" textlink="">
      <cdr:nvSpPr>
        <cdr:cNvPr id="4" name="TextBox 1"/>
        <cdr:cNvSpPr txBox="1"/>
      </cdr:nvSpPr>
      <cdr:spPr>
        <a:xfrm xmlns:a="http://schemas.openxmlformats.org/drawingml/2006/main">
          <a:off x="153965" y="399896"/>
          <a:ext cx="1901815" cy="209556"/>
        </a:xfrm>
        <a:prstGeom xmlns:a="http://schemas.openxmlformats.org/drawingml/2006/main" prst="rect">
          <a:avLst/>
        </a:prstGeom>
      </cdr:spPr>
      <cdr:txBody>
        <a:bodyPr xmlns:a="http://schemas.openxmlformats.org/drawingml/2006/main" wrap="non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a:endParaRPr lang="en-GB" sz="8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3E8A064A0CE34DAD7DAD3792D68BE5" ma:contentTypeVersion="10" ma:contentTypeDescription="Create a new document." ma:contentTypeScope="" ma:versionID="784c483e6c5f24d90f2a8c9b3edc0305">
  <xsd:schema xmlns:xsd="http://www.w3.org/2001/XMLSchema" xmlns:xs="http://www.w3.org/2001/XMLSchema" xmlns:p="http://schemas.microsoft.com/office/2006/metadata/properties" xmlns:ns2="e2e28f0a-1429-4847-bacf-d71185b1f9be" xmlns:ns3="f3c5914b-f836-4f8a-87ca-6de4087dd009" targetNamespace="http://schemas.microsoft.com/office/2006/metadata/properties" ma:root="true" ma:fieldsID="14ff8f0d38e6953b2558cbe582bd3bed" ns2:_="" ns3:_="">
    <xsd:import namespace="e2e28f0a-1429-4847-bacf-d71185b1f9be"/>
    <xsd:import namespace="f3c5914b-f836-4f8a-87ca-6de4087dd00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28f0a-1429-4847-bacf-d71185b1f9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c5914b-f836-4f8a-87ca-6de4087dd00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D43B0-DC5A-4366-964E-8785B8C1F8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F419DE-A1FE-4C8C-892E-49BB21C25079}">
  <ds:schemaRefs>
    <ds:schemaRef ds:uri="http://schemas.microsoft.com/sharepoint/v3/contenttype/forms"/>
  </ds:schemaRefs>
</ds:datastoreItem>
</file>

<file path=customXml/itemProps3.xml><?xml version="1.0" encoding="utf-8"?>
<ds:datastoreItem xmlns:ds="http://schemas.openxmlformats.org/officeDocument/2006/customXml" ds:itemID="{27F26608-DC0C-4543-AA4D-386E8DF9F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28f0a-1429-4847-bacf-d71185b1f9be"/>
    <ds:schemaRef ds:uri="f3c5914b-f836-4f8a-87ca-6de4087dd0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A8A300-F27F-4595-BEA3-66771E6A3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33</Pages>
  <Words>6275</Words>
  <Characters>35774</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41966</CharactersWithSpaces>
  <SharedDoc>false</SharedDoc>
  <HLinks>
    <vt:vector size="318" baseType="variant">
      <vt:variant>
        <vt:i4>1966130</vt:i4>
      </vt:variant>
      <vt:variant>
        <vt:i4>309</vt:i4>
      </vt:variant>
      <vt:variant>
        <vt:i4>0</vt:i4>
      </vt:variant>
      <vt:variant>
        <vt:i4>5</vt:i4>
      </vt:variant>
      <vt:variant>
        <vt:lpwstr/>
      </vt:variant>
      <vt:variant>
        <vt:lpwstr>_Toc29286149</vt:lpwstr>
      </vt:variant>
      <vt:variant>
        <vt:i4>2031666</vt:i4>
      </vt:variant>
      <vt:variant>
        <vt:i4>303</vt:i4>
      </vt:variant>
      <vt:variant>
        <vt:i4>0</vt:i4>
      </vt:variant>
      <vt:variant>
        <vt:i4>5</vt:i4>
      </vt:variant>
      <vt:variant>
        <vt:lpwstr/>
      </vt:variant>
      <vt:variant>
        <vt:lpwstr>_Toc29286148</vt:lpwstr>
      </vt:variant>
      <vt:variant>
        <vt:i4>1114162</vt:i4>
      </vt:variant>
      <vt:variant>
        <vt:i4>297</vt:i4>
      </vt:variant>
      <vt:variant>
        <vt:i4>0</vt:i4>
      </vt:variant>
      <vt:variant>
        <vt:i4>5</vt:i4>
      </vt:variant>
      <vt:variant>
        <vt:lpwstr/>
      </vt:variant>
      <vt:variant>
        <vt:lpwstr>_Toc29286146</vt:lpwstr>
      </vt:variant>
      <vt:variant>
        <vt:i4>1376306</vt:i4>
      </vt:variant>
      <vt:variant>
        <vt:i4>291</vt:i4>
      </vt:variant>
      <vt:variant>
        <vt:i4>0</vt:i4>
      </vt:variant>
      <vt:variant>
        <vt:i4>5</vt:i4>
      </vt:variant>
      <vt:variant>
        <vt:lpwstr/>
      </vt:variant>
      <vt:variant>
        <vt:lpwstr>_Toc29286142</vt:lpwstr>
      </vt:variant>
      <vt:variant>
        <vt:i4>1507378</vt:i4>
      </vt:variant>
      <vt:variant>
        <vt:i4>285</vt:i4>
      </vt:variant>
      <vt:variant>
        <vt:i4>0</vt:i4>
      </vt:variant>
      <vt:variant>
        <vt:i4>5</vt:i4>
      </vt:variant>
      <vt:variant>
        <vt:lpwstr/>
      </vt:variant>
      <vt:variant>
        <vt:lpwstr>_Toc29286140</vt:lpwstr>
      </vt:variant>
      <vt:variant>
        <vt:i4>2031669</vt:i4>
      </vt:variant>
      <vt:variant>
        <vt:i4>279</vt:i4>
      </vt:variant>
      <vt:variant>
        <vt:i4>0</vt:i4>
      </vt:variant>
      <vt:variant>
        <vt:i4>5</vt:i4>
      </vt:variant>
      <vt:variant>
        <vt:lpwstr/>
      </vt:variant>
      <vt:variant>
        <vt:lpwstr>_Toc29286138</vt:lpwstr>
      </vt:variant>
      <vt:variant>
        <vt:i4>1114165</vt:i4>
      </vt:variant>
      <vt:variant>
        <vt:i4>273</vt:i4>
      </vt:variant>
      <vt:variant>
        <vt:i4>0</vt:i4>
      </vt:variant>
      <vt:variant>
        <vt:i4>5</vt:i4>
      </vt:variant>
      <vt:variant>
        <vt:lpwstr/>
      </vt:variant>
      <vt:variant>
        <vt:lpwstr>_Toc29286136</vt:lpwstr>
      </vt:variant>
      <vt:variant>
        <vt:i4>1179701</vt:i4>
      </vt:variant>
      <vt:variant>
        <vt:i4>267</vt:i4>
      </vt:variant>
      <vt:variant>
        <vt:i4>0</vt:i4>
      </vt:variant>
      <vt:variant>
        <vt:i4>5</vt:i4>
      </vt:variant>
      <vt:variant>
        <vt:lpwstr/>
      </vt:variant>
      <vt:variant>
        <vt:lpwstr>_Toc29286135</vt:lpwstr>
      </vt:variant>
      <vt:variant>
        <vt:i4>1245237</vt:i4>
      </vt:variant>
      <vt:variant>
        <vt:i4>261</vt:i4>
      </vt:variant>
      <vt:variant>
        <vt:i4>0</vt:i4>
      </vt:variant>
      <vt:variant>
        <vt:i4>5</vt:i4>
      </vt:variant>
      <vt:variant>
        <vt:lpwstr/>
      </vt:variant>
      <vt:variant>
        <vt:lpwstr>_Toc29286134</vt:lpwstr>
      </vt:variant>
      <vt:variant>
        <vt:i4>1310773</vt:i4>
      </vt:variant>
      <vt:variant>
        <vt:i4>255</vt:i4>
      </vt:variant>
      <vt:variant>
        <vt:i4>0</vt:i4>
      </vt:variant>
      <vt:variant>
        <vt:i4>5</vt:i4>
      </vt:variant>
      <vt:variant>
        <vt:lpwstr/>
      </vt:variant>
      <vt:variant>
        <vt:lpwstr>_Toc29286133</vt:lpwstr>
      </vt:variant>
      <vt:variant>
        <vt:i4>1376309</vt:i4>
      </vt:variant>
      <vt:variant>
        <vt:i4>249</vt:i4>
      </vt:variant>
      <vt:variant>
        <vt:i4>0</vt:i4>
      </vt:variant>
      <vt:variant>
        <vt:i4>5</vt:i4>
      </vt:variant>
      <vt:variant>
        <vt:lpwstr/>
      </vt:variant>
      <vt:variant>
        <vt:lpwstr>_Toc29286132</vt:lpwstr>
      </vt:variant>
      <vt:variant>
        <vt:i4>1507381</vt:i4>
      </vt:variant>
      <vt:variant>
        <vt:i4>243</vt:i4>
      </vt:variant>
      <vt:variant>
        <vt:i4>0</vt:i4>
      </vt:variant>
      <vt:variant>
        <vt:i4>5</vt:i4>
      </vt:variant>
      <vt:variant>
        <vt:lpwstr/>
      </vt:variant>
      <vt:variant>
        <vt:lpwstr>_Toc29286130</vt:lpwstr>
      </vt:variant>
      <vt:variant>
        <vt:i4>2031668</vt:i4>
      </vt:variant>
      <vt:variant>
        <vt:i4>237</vt:i4>
      </vt:variant>
      <vt:variant>
        <vt:i4>0</vt:i4>
      </vt:variant>
      <vt:variant>
        <vt:i4>5</vt:i4>
      </vt:variant>
      <vt:variant>
        <vt:lpwstr/>
      </vt:variant>
      <vt:variant>
        <vt:lpwstr>_Toc29286128</vt:lpwstr>
      </vt:variant>
      <vt:variant>
        <vt:i4>1114164</vt:i4>
      </vt:variant>
      <vt:variant>
        <vt:i4>231</vt:i4>
      </vt:variant>
      <vt:variant>
        <vt:i4>0</vt:i4>
      </vt:variant>
      <vt:variant>
        <vt:i4>5</vt:i4>
      </vt:variant>
      <vt:variant>
        <vt:lpwstr/>
      </vt:variant>
      <vt:variant>
        <vt:lpwstr>_Toc29286126</vt:lpwstr>
      </vt:variant>
      <vt:variant>
        <vt:i4>1245236</vt:i4>
      </vt:variant>
      <vt:variant>
        <vt:i4>225</vt:i4>
      </vt:variant>
      <vt:variant>
        <vt:i4>0</vt:i4>
      </vt:variant>
      <vt:variant>
        <vt:i4>5</vt:i4>
      </vt:variant>
      <vt:variant>
        <vt:lpwstr/>
      </vt:variant>
      <vt:variant>
        <vt:lpwstr>_Toc29286124</vt:lpwstr>
      </vt:variant>
      <vt:variant>
        <vt:i4>1310772</vt:i4>
      </vt:variant>
      <vt:variant>
        <vt:i4>219</vt:i4>
      </vt:variant>
      <vt:variant>
        <vt:i4>0</vt:i4>
      </vt:variant>
      <vt:variant>
        <vt:i4>5</vt:i4>
      </vt:variant>
      <vt:variant>
        <vt:lpwstr/>
      </vt:variant>
      <vt:variant>
        <vt:lpwstr>_Toc29286123</vt:lpwstr>
      </vt:variant>
      <vt:variant>
        <vt:i4>1507380</vt:i4>
      </vt:variant>
      <vt:variant>
        <vt:i4>213</vt:i4>
      </vt:variant>
      <vt:variant>
        <vt:i4>0</vt:i4>
      </vt:variant>
      <vt:variant>
        <vt:i4>5</vt:i4>
      </vt:variant>
      <vt:variant>
        <vt:lpwstr/>
      </vt:variant>
      <vt:variant>
        <vt:lpwstr>_Toc29286120</vt:lpwstr>
      </vt:variant>
      <vt:variant>
        <vt:i4>2031671</vt:i4>
      </vt:variant>
      <vt:variant>
        <vt:i4>207</vt:i4>
      </vt:variant>
      <vt:variant>
        <vt:i4>0</vt:i4>
      </vt:variant>
      <vt:variant>
        <vt:i4>5</vt:i4>
      </vt:variant>
      <vt:variant>
        <vt:lpwstr/>
      </vt:variant>
      <vt:variant>
        <vt:lpwstr>_Toc29286118</vt:lpwstr>
      </vt:variant>
      <vt:variant>
        <vt:i4>1048631</vt:i4>
      </vt:variant>
      <vt:variant>
        <vt:i4>201</vt:i4>
      </vt:variant>
      <vt:variant>
        <vt:i4>0</vt:i4>
      </vt:variant>
      <vt:variant>
        <vt:i4>5</vt:i4>
      </vt:variant>
      <vt:variant>
        <vt:lpwstr/>
      </vt:variant>
      <vt:variant>
        <vt:lpwstr>_Toc29286117</vt:lpwstr>
      </vt:variant>
      <vt:variant>
        <vt:i4>1114167</vt:i4>
      </vt:variant>
      <vt:variant>
        <vt:i4>195</vt:i4>
      </vt:variant>
      <vt:variant>
        <vt:i4>0</vt:i4>
      </vt:variant>
      <vt:variant>
        <vt:i4>5</vt:i4>
      </vt:variant>
      <vt:variant>
        <vt:lpwstr/>
      </vt:variant>
      <vt:variant>
        <vt:lpwstr>_Toc29286116</vt:lpwstr>
      </vt:variant>
      <vt:variant>
        <vt:i4>1376311</vt:i4>
      </vt:variant>
      <vt:variant>
        <vt:i4>189</vt:i4>
      </vt:variant>
      <vt:variant>
        <vt:i4>0</vt:i4>
      </vt:variant>
      <vt:variant>
        <vt:i4>5</vt:i4>
      </vt:variant>
      <vt:variant>
        <vt:lpwstr/>
      </vt:variant>
      <vt:variant>
        <vt:lpwstr>_Toc29286112</vt:lpwstr>
      </vt:variant>
      <vt:variant>
        <vt:i4>1507380</vt:i4>
      </vt:variant>
      <vt:variant>
        <vt:i4>182</vt:i4>
      </vt:variant>
      <vt:variant>
        <vt:i4>0</vt:i4>
      </vt:variant>
      <vt:variant>
        <vt:i4>5</vt:i4>
      </vt:variant>
      <vt:variant>
        <vt:lpwstr/>
      </vt:variant>
      <vt:variant>
        <vt:lpwstr>_Toc29286322</vt:lpwstr>
      </vt:variant>
      <vt:variant>
        <vt:i4>1835063</vt:i4>
      </vt:variant>
      <vt:variant>
        <vt:i4>176</vt:i4>
      </vt:variant>
      <vt:variant>
        <vt:i4>0</vt:i4>
      </vt:variant>
      <vt:variant>
        <vt:i4>5</vt:i4>
      </vt:variant>
      <vt:variant>
        <vt:lpwstr/>
      </vt:variant>
      <vt:variant>
        <vt:lpwstr>_Toc29286319</vt:lpwstr>
      </vt:variant>
      <vt:variant>
        <vt:i4>1179703</vt:i4>
      </vt:variant>
      <vt:variant>
        <vt:i4>170</vt:i4>
      </vt:variant>
      <vt:variant>
        <vt:i4>0</vt:i4>
      </vt:variant>
      <vt:variant>
        <vt:i4>5</vt:i4>
      </vt:variant>
      <vt:variant>
        <vt:lpwstr/>
      </vt:variant>
      <vt:variant>
        <vt:lpwstr>_Toc29286317</vt:lpwstr>
      </vt:variant>
      <vt:variant>
        <vt:i4>1245239</vt:i4>
      </vt:variant>
      <vt:variant>
        <vt:i4>164</vt:i4>
      </vt:variant>
      <vt:variant>
        <vt:i4>0</vt:i4>
      </vt:variant>
      <vt:variant>
        <vt:i4>5</vt:i4>
      </vt:variant>
      <vt:variant>
        <vt:lpwstr/>
      </vt:variant>
      <vt:variant>
        <vt:lpwstr>_Toc29286316</vt:lpwstr>
      </vt:variant>
      <vt:variant>
        <vt:i4>1048631</vt:i4>
      </vt:variant>
      <vt:variant>
        <vt:i4>158</vt:i4>
      </vt:variant>
      <vt:variant>
        <vt:i4>0</vt:i4>
      </vt:variant>
      <vt:variant>
        <vt:i4>5</vt:i4>
      </vt:variant>
      <vt:variant>
        <vt:lpwstr/>
      </vt:variant>
      <vt:variant>
        <vt:lpwstr>_Toc29286315</vt:lpwstr>
      </vt:variant>
      <vt:variant>
        <vt:i4>1441847</vt:i4>
      </vt:variant>
      <vt:variant>
        <vt:i4>152</vt:i4>
      </vt:variant>
      <vt:variant>
        <vt:i4>0</vt:i4>
      </vt:variant>
      <vt:variant>
        <vt:i4>5</vt:i4>
      </vt:variant>
      <vt:variant>
        <vt:lpwstr/>
      </vt:variant>
      <vt:variant>
        <vt:lpwstr>_Toc29286313</vt:lpwstr>
      </vt:variant>
      <vt:variant>
        <vt:i4>1310775</vt:i4>
      </vt:variant>
      <vt:variant>
        <vt:i4>146</vt:i4>
      </vt:variant>
      <vt:variant>
        <vt:i4>0</vt:i4>
      </vt:variant>
      <vt:variant>
        <vt:i4>5</vt:i4>
      </vt:variant>
      <vt:variant>
        <vt:lpwstr/>
      </vt:variant>
      <vt:variant>
        <vt:lpwstr>_Toc29286311</vt:lpwstr>
      </vt:variant>
      <vt:variant>
        <vt:i4>1835062</vt:i4>
      </vt:variant>
      <vt:variant>
        <vt:i4>140</vt:i4>
      </vt:variant>
      <vt:variant>
        <vt:i4>0</vt:i4>
      </vt:variant>
      <vt:variant>
        <vt:i4>5</vt:i4>
      </vt:variant>
      <vt:variant>
        <vt:lpwstr/>
      </vt:variant>
      <vt:variant>
        <vt:lpwstr>_Toc29286309</vt:lpwstr>
      </vt:variant>
      <vt:variant>
        <vt:i4>1441846</vt:i4>
      </vt:variant>
      <vt:variant>
        <vt:i4>134</vt:i4>
      </vt:variant>
      <vt:variant>
        <vt:i4>0</vt:i4>
      </vt:variant>
      <vt:variant>
        <vt:i4>5</vt:i4>
      </vt:variant>
      <vt:variant>
        <vt:lpwstr/>
      </vt:variant>
      <vt:variant>
        <vt:lpwstr>_Toc29286303</vt:lpwstr>
      </vt:variant>
      <vt:variant>
        <vt:i4>1310774</vt:i4>
      </vt:variant>
      <vt:variant>
        <vt:i4>128</vt:i4>
      </vt:variant>
      <vt:variant>
        <vt:i4>0</vt:i4>
      </vt:variant>
      <vt:variant>
        <vt:i4>5</vt:i4>
      </vt:variant>
      <vt:variant>
        <vt:lpwstr/>
      </vt:variant>
      <vt:variant>
        <vt:lpwstr>_Toc29286301</vt:lpwstr>
      </vt:variant>
      <vt:variant>
        <vt:i4>1900607</vt:i4>
      </vt:variant>
      <vt:variant>
        <vt:i4>122</vt:i4>
      </vt:variant>
      <vt:variant>
        <vt:i4>0</vt:i4>
      </vt:variant>
      <vt:variant>
        <vt:i4>5</vt:i4>
      </vt:variant>
      <vt:variant>
        <vt:lpwstr/>
      </vt:variant>
      <vt:variant>
        <vt:lpwstr>_Toc29286299</vt:lpwstr>
      </vt:variant>
      <vt:variant>
        <vt:i4>1245247</vt:i4>
      </vt:variant>
      <vt:variant>
        <vt:i4>116</vt:i4>
      </vt:variant>
      <vt:variant>
        <vt:i4>0</vt:i4>
      </vt:variant>
      <vt:variant>
        <vt:i4>5</vt:i4>
      </vt:variant>
      <vt:variant>
        <vt:lpwstr/>
      </vt:variant>
      <vt:variant>
        <vt:lpwstr>_Toc29286297</vt:lpwstr>
      </vt:variant>
      <vt:variant>
        <vt:i4>1048639</vt:i4>
      </vt:variant>
      <vt:variant>
        <vt:i4>110</vt:i4>
      </vt:variant>
      <vt:variant>
        <vt:i4>0</vt:i4>
      </vt:variant>
      <vt:variant>
        <vt:i4>5</vt:i4>
      </vt:variant>
      <vt:variant>
        <vt:lpwstr/>
      </vt:variant>
      <vt:variant>
        <vt:lpwstr>_Toc29286294</vt:lpwstr>
      </vt:variant>
      <vt:variant>
        <vt:i4>1507391</vt:i4>
      </vt:variant>
      <vt:variant>
        <vt:i4>104</vt:i4>
      </vt:variant>
      <vt:variant>
        <vt:i4>0</vt:i4>
      </vt:variant>
      <vt:variant>
        <vt:i4>5</vt:i4>
      </vt:variant>
      <vt:variant>
        <vt:lpwstr/>
      </vt:variant>
      <vt:variant>
        <vt:lpwstr>_Toc29286293</vt:lpwstr>
      </vt:variant>
      <vt:variant>
        <vt:i4>1376319</vt:i4>
      </vt:variant>
      <vt:variant>
        <vt:i4>98</vt:i4>
      </vt:variant>
      <vt:variant>
        <vt:i4>0</vt:i4>
      </vt:variant>
      <vt:variant>
        <vt:i4>5</vt:i4>
      </vt:variant>
      <vt:variant>
        <vt:lpwstr/>
      </vt:variant>
      <vt:variant>
        <vt:lpwstr>_Toc29286291</vt:lpwstr>
      </vt:variant>
      <vt:variant>
        <vt:i4>1245246</vt:i4>
      </vt:variant>
      <vt:variant>
        <vt:i4>92</vt:i4>
      </vt:variant>
      <vt:variant>
        <vt:i4>0</vt:i4>
      </vt:variant>
      <vt:variant>
        <vt:i4>5</vt:i4>
      </vt:variant>
      <vt:variant>
        <vt:lpwstr/>
      </vt:variant>
      <vt:variant>
        <vt:lpwstr>_Toc29286287</vt:lpwstr>
      </vt:variant>
      <vt:variant>
        <vt:i4>1179710</vt:i4>
      </vt:variant>
      <vt:variant>
        <vt:i4>86</vt:i4>
      </vt:variant>
      <vt:variant>
        <vt:i4>0</vt:i4>
      </vt:variant>
      <vt:variant>
        <vt:i4>5</vt:i4>
      </vt:variant>
      <vt:variant>
        <vt:lpwstr/>
      </vt:variant>
      <vt:variant>
        <vt:lpwstr>_Toc29286286</vt:lpwstr>
      </vt:variant>
      <vt:variant>
        <vt:i4>1114174</vt:i4>
      </vt:variant>
      <vt:variant>
        <vt:i4>80</vt:i4>
      </vt:variant>
      <vt:variant>
        <vt:i4>0</vt:i4>
      </vt:variant>
      <vt:variant>
        <vt:i4>5</vt:i4>
      </vt:variant>
      <vt:variant>
        <vt:lpwstr/>
      </vt:variant>
      <vt:variant>
        <vt:lpwstr>_Toc29286285</vt:lpwstr>
      </vt:variant>
      <vt:variant>
        <vt:i4>1507390</vt:i4>
      </vt:variant>
      <vt:variant>
        <vt:i4>74</vt:i4>
      </vt:variant>
      <vt:variant>
        <vt:i4>0</vt:i4>
      </vt:variant>
      <vt:variant>
        <vt:i4>5</vt:i4>
      </vt:variant>
      <vt:variant>
        <vt:lpwstr/>
      </vt:variant>
      <vt:variant>
        <vt:lpwstr>_Toc29286283</vt:lpwstr>
      </vt:variant>
      <vt:variant>
        <vt:i4>1441854</vt:i4>
      </vt:variant>
      <vt:variant>
        <vt:i4>68</vt:i4>
      </vt:variant>
      <vt:variant>
        <vt:i4>0</vt:i4>
      </vt:variant>
      <vt:variant>
        <vt:i4>5</vt:i4>
      </vt:variant>
      <vt:variant>
        <vt:lpwstr/>
      </vt:variant>
      <vt:variant>
        <vt:lpwstr>_Toc29286282</vt:lpwstr>
      </vt:variant>
      <vt:variant>
        <vt:i4>1376318</vt:i4>
      </vt:variant>
      <vt:variant>
        <vt:i4>62</vt:i4>
      </vt:variant>
      <vt:variant>
        <vt:i4>0</vt:i4>
      </vt:variant>
      <vt:variant>
        <vt:i4>5</vt:i4>
      </vt:variant>
      <vt:variant>
        <vt:lpwstr/>
      </vt:variant>
      <vt:variant>
        <vt:lpwstr>_Toc29286281</vt:lpwstr>
      </vt:variant>
      <vt:variant>
        <vt:i4>1310782</vt:i4>
      </vt:variant>
      <vt:variant>
        <vt:i4>56</vt:i4>
      </vt:variant>
      <vt:variant>
        <vt:i4>0</vt:i4>
      </vt:variant>
      <vt:variant>
        <vt:i4>5</vt:i4>
      </vt:variant>
      <vt:variant>
        <vt:lpwstr/>
      </vt:variant>
      <vt:variant>
        <vt:lpwstr>_Toc29286280</vt:lpwstr>
      </vt:variant>
      <vt:variant>
        <vt:i4>1900593</vt:i4>
      </vt:variant>
      <vt:variant>
        <vt:i4>50</vt:i4>
      </vt:variant>
      <vt:variant>
        <vt:i4>0</vt:i4>
      </vt:variant>
      <vt:variant>
        <vt:i4>5</vt:i4>
      </vt:variant>
      <vt:variant>
        <vt:lpwstr/>
      </vt:variant>
      <vt:variant>
        <vt:lpwstr>_Toc29286279</vt:lpwstr>
      </vt:variant>
      <vt:variant>
        <vt:i4>1835057</vt:i4>
      </vt:variant>
      <vt:variant>
        <vt:i4>44</vt:i4>
      </vt:variant>
      <vt:variant>
        <vt:i4>0</vt:i4>
      </vt:variant>
      <vt:variant>
        <vt:i4>5</vt:i4>
      </vt:variant>
      <vt:variant>
        <vt:lpwstr/>
      </vt:variant>
      <vt:variant>
        <vt:lpwstr>_Toc29286278</vt:lpwstr>
      </vt:variant>
      <vt:variant>
        <vt:i4>1245233</vt:i4>
      </vt:variant>
      <vt:variant>
        <vt:i4>38</vt:i4>
      </vt:variant>
      <vt:variant>
        <vt:i4>0</vt:i4>
      </vt:variant>
      <vt:variant>
        <vt:i4>5</vt:i4>
      </vt:variant>
      <vt:variant>
        <vt:lpwstr/>
      </vt:variant>
      <vt:variant>
        <vt:lpwstr>_Toc29286277</vt:lpwstr>
      </vt:variant>
      <vt:variant>
        <vt:i4>1179697</vt:i4>
      </vt:variant>
      <vt:variant>
        <vt:i4>32</vt:i4>
      </vt:variant>
      <vt:variant>
        <vt:i4>0</vt:i4>
      </vt:variant>
      <vt:variant>
        <vt:i4>5</vt:i4>
      </vt:variant>
      <vt:variant>
        <vt:lpwstr/>
      </vt:variant>
      <vt:variant>
        <vt:lpwstr>_Toc29286276</vt:lpwstr>
      </vt:variant>
      <vt:variant>
        <vt:i4>1114161</vt:i4>
      </vt:variant>
      <vt:variant>
        <vt:i4>26</vt:i4>
      </vt:variant>
      <vt:variant>
        <vt:i4>0</vt:i4>
      </vt:variant>
      <vt:variant>
        <vt:i4>5</vt:i4>
      </vt:variant>
      <vt:variant>
        <vt:lpwstr/>
      </vt:variant>
      <vt:variant>
        <vt:lpwstr>_Toc29286275</vt:lpwstr>
      </vt:variant>
      <vt:variant>
        <vt:i4>1048625</vt:i4>
      </vt:variant>
      <vt:variant>
        <vt:i4>20</vt:i4>
      </vt:variant>
      <vt:variant>
        <vt:i4>0</vt:i4>
      </vt:variant>
      <vt:variant>
        <vt:i4>5</vt:i4>
      </vt:variant>
      <vt:variant>
        <vt:lpwstr/>
      </vt:variant>
      <vt:variant>
        <vt:lpwstr>_Toc29286274</vt:lpwstr>
      </vt:variant>
      <vt:variant>
        <vt:i4>1507377</vt:i4>
      </vt:variant>
      <vt:variant>
        <vt:i4>14</vt:i4>
      </vt:variant>
      <vt:variant>
        <vt:i4>0</vt:i4>
      </vt:variant>
      <vt:variant>
        <vt:i4>5</vt:i4>
      </vt:variant>
      <vt:variant>
        <vt:lpwstr/>
      </vt:variant>
      <vt:variant>
        <vt:lpwstr>_Toc29286273</vt:lpwstr>
      </vt:variant>
      <vt:variant>
        <vt:i4>1441841</vt:i4>
      </vt:variant>
      <vt:variant>
        <vt:i4>8</vt:i4>
      </vt:variant>
      <vt:variant>
        <vt:i4>0</vt:i4>
      </vt:variant>
      <vt:variant>
        <vt:i4>5</vt:i4>
      </vt:variant>
      <vt:variant>
        <vt:lpwstr/>
      </vt:variant>
      <vt:variant>
        <vt:lpwstr>_Toc29286272</vt:lpwstr>
      </vt:variant>
      <vt:variant>
        <vt:i4>1376305</vt:i4>
      </vt:variant>
      <vt:variant>
        <vt:i4>2</vt:i4>
      </vt:variant>
      <vt:variant>
        <vt:i4>0</vt:i4>
      </vt:variant>
      <vt:variant>
        <vt:i4>5</vt:i4>
      </vt:variant>
      <vt:variant>
        <vt:lpwstr/>
      </vt:variant>
      <vt:variant>
        <vt:lpwstr>_Toc29286271</vt:lpwstr>
      </vt:variant>
      <vt:variant>
        <vt:i4>4390995</vt:i4>
      </vt:variant>
      <vt:variant>
        <vt:i4>0</vt:i4>
      </vt:variant>
      <vt:variant>
        <vt:i4>0</vt:i4>
      </vt:variant>
      <vt:variant>
        <vt:i4>5</vt:i4>
      </vt:variant>
      <vt:variant>
        <vt:lpwstr>https://www.unhcr.org/ke/wp-content/uploads/sites/2/2018/12/KISEDP-Strategic-Overview.pdf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dc:creator>
  <cp:lastModifiedBy>David Walter Odede Oremo</cp:lastModifiedBy>
  <cp:revision>3</cp:revision>
  <dcterms:created xsi:type="dcterms:W3CDTF">2020-01-09T17:39:00Z</dcterms:created>
  <dcterms:modified xsi:type="dcterms:W3CDTF">2020-06-26T07:54:00Z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0x0101001B3E8A064A0CE34DAD7DAD3792D68BE5</vt:lpwstr>
  </property>
</Properties>
</file>